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6B6C730A"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F83455">
        <w:rPr>
          <w:rFonts w:ascii="Times New Roman" w:hAnsi="Times New Roman" w:cs="Times New Roman"/>
          <w:sz w:val="24"/>
          <w:szCs w:val="24"/>
        </w:rPr>
        <w:t>10/2024</w:t>
      </w:r>
    </w:p>
    <w:p w14:paraId="23FC7BE7" w14:textId="47DC6CEF"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F83455">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546019F6"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F83455">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E98402" w:rsidR="009B5E24" w:rsidRPr="00EA0469"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723DB0CB" w:rsidR="009B5E24" w:rsidRPr="00EA0469"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51D10571"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Ilekroć w zasadach (polityce) rachunkowości jest mowa o:</w:t>
      </w:r>
    </w:p>
    <w:p w14:paraId="5AC7F8BE"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późn. zm);</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późn.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C00DE7D" w14:textId="77777777" w:rsidR="00882ACA" w:rsidRDefault="009B5E24" w:rsidP="00882ACA">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w.n.p  – należy przez to rozumieć  wartości niematerialne i prawne;</w:t>
      </w:r>
    </w:p>
    <w:p w14:paraId="6D74943C" w14:textId="0EF4AF97" w:rsidR="009B5E24" w:rsidRPr="00882ACA" w:rsidRDefault="009B5E24" w:rsidP="00882ACA">
      <w:pPr>
        <w:pStyle w:val="Akapitzlist"/>
        <w:numPr>
          <w:ilvl w:val="0"/>
          <w:numId w:val="1"/>
        </w:numPr>
        <w:spacing w:line="276" w:lineRule="auto"/>
        <w:jc w:val="both"/>
        <w:rPr>
          <w:rFonts w:ascii="Times New Roman" w:hAnsi="Times New Roman" w:cs="Times New Roman"/>
          <w:sz w:val="24"/>
          <w:szCs w:val="24"/>
        </w:rPr>
      </w:pPr>
      <w:r w:rsidRPr="00882ACA">
        <w:rPr>
          <w:rFonts w:ascii="Times New Roman" w:hAnsi="Times New Roman" w:cs="Times New Roman"/>
          <w:sz w:val="24"/>
          <w:szCs w:val="24"/>
        </w:rPr>
        <w:t xml:space="preserve">jednostce – należy przez to rozumieć </w:t>
      </w:r>
      <w:r w:rsidR="00882ACA" w:rsidRPr="00882ACA">
        <w:rPr>
          <w:rFonts w:ascii="Times New Roman" w:hAnsi="Times New Roman" w:cs="Times New Roman"/>
          <w:b/>
          <w:sz w:val="24"/>
          <w:szCs w:val="24"/>
        </w:rPr>
        <w:t>Szkoła Podstawowa nr 6 im. Mikołaja Kopernika, al. Mikołaja Kopernika 18, 88-100 Inowrocław</w:t>
      </w:r>
      <w:r w:rsidRPr="00882ACA">
        <w:rPr>
          <w:rFonts w:ascii="Times New Roman" w:hAnsi="Times New Roman" w:cs="Times New Roman"/>
          <w:sz w:val="24"/>
          <w:szCs w:val="24"/>
        </w:rPr>
        <w:t>;</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MZEAS – należy przez to rozumieć Miejski Zespół Ekonomiczno-Administracyjny Szkół z siedzibą przy ul. Kiełbasiewicza</w:t>
      </w:r>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086E3D9"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Ogólne zasady prowadzenia ksiąg.</w:t>
      </w:r>
    </w:p>
    <w:p w14:paraId="7E0CB0B7"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jednostki prowadzone są przez Miejski Zespół Ekonomiczno-Administracyjny Szkół w Inowrocławiu przy ul. Kiełbasiewicza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budżetowej  (t.j.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późn.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(t.j.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3621C3E5"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W jednostce wg stanu na dzień 31 grudnia danego roku sporządza się roczne</w:t>
      </w:r>
      <w:r w:rsidR="005E623D" w:rsidRPr="00EA0469">
        <w:rPr>
          <w:rFonts w:ascii="Times New Roman" w:hAnsi="Times New Roman" w:cs="Times New Roman"/>
          <w:sz w:val="24"/>
          <w:szCs w:val="24"/>
        </w:rPr>
        <w:t xml:space="preserve"> </w:t>
      </w:r>
      <w:r w:rsidRPr="00EA0469">
        <w:rPr>
          <w:rFonts w:ascii="Times New Roman" w:hAnsi="Times New Roman" w:cs="Times New Roman"/>
          <w:b/>
          <w:bCs/>
          <w:sz w:val="24"/>
          <w:szCs w:val="24"/>
        </w:rPr>
        <w:t>sprawozdanie finansowe obejmujące:</w:t>
      </w:r>
    </w:p>
    <w:p w14:paraId="1A3051A9"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478E6926" w:rsidR="009B5E24" w:rsidRPr="00EA0469"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sięgi rachunkowe prowadzone są w programie komputerowym Finanse firmy Vulcan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naliczenia i ewidencji wynagrodzeń, podatku dochodowego od osób fizycznych oraz składek na ubezpieczenie społeczne służy program komputerowy Płace firmy Vulcan.</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widencja budżetu odbywa się w systemie Finanse Vulcan i na platformie Sigma Optivum firmy Vulcan</w:t>
      </w:r>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wykonania budżetu sporządzane są w systemie Finanse Vulcan i następnie eksportowane na platformę Sigma Optivum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r w:rsidR="009B5E24" w:rsidRPr="009B5E24">
        <w:rPr>
          <w:rFonts w:ascii="Times New Roman" w:hAnsi="Times New Roman" w:cs="Times New Roman"/>
          <w:sz w:val="24"/>
          <w:szCs w:val="24"/>
        </w:rPr>
        <w:t>BeSTi@”</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onta pozabilansowe pełnią funkcję informacyjno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192AACD0" w:rsidR="009B5E24" w:rsidRPr="00EA0469"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w.n.p.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3D0E85CF" w:rsidR="009B5E24" w:rsidRPr="00EA0469"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formalno</w:t>
      </w:r>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6694EC6A"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Okres przechowywania dokumentacji</w:t>
      </w:r>
    </w:p>
    <w:p w14:paraId="17BDD7CE"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5CBFD27C" w:rsidR="009B5E24" w:rsidRPr="00EA0469" w:rsidRDefault="009B5E24" w:rsidP="00EA0469">
      <w:pPr>
        <w:pStyle w:val="Akapitzlist"/>
        <w:numPr>
          <w:ilvl w:val="0"/>
          <w:numId w:val="48"/>
        </w:numPr>
        <w:spacing w:line="276" w:lineRule="auto"/>
        <w:jc w:val="both"/>
        <w:rPr>
          <w:rFonts w:ascii="Times New Roman" w:hAnsi="Times New Roman" w:cs="Times New Roman"/>
          <w:b/>
          <w:bCs/>
          <w:sz w:val="24"/>
          <w:szCs w:val="24"/>
        </w:rPr>
      </w:pPr>
      <w:bookmarkStart w:id="0" w:name="_Hlk155372376"/>
      <w:r w:rsidRPr="00EA0469">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 xml:space="preserve">ustawie z 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(t.j.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337FE446" w:rsidR="00830A24" w:rsidRDefault="00CD6F01" w:rsidP="00E15BE5">
      <w:pPr>
        <w:pStyle w:val="Akapitzlist"/>
        <w:numPr>
          <w:ilvl w:val="0"/>
          <w:numId w:val="30"/>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WNiP</w:t>
      </w:r>
      <w:r w:rsidR="00F320CD" w:rsidRPr="007E0C8C">
        <w:rPr>
          <w:rFonts w:ascii="Times New Roman" w:hAnsi="Times New Roman" w:cs="Times New Roman"/>
          <w:sz w:val="24"/>
          <w:szCs w:val="24"/>
        </w:rPr>
        <w:t>”. Umarza się je w 100 % w miesiącu przyjęcia do używania, a umorzenie to ujmuje się na koncie 072 „Umorzenie pozostałych środków trwałych, wartości niematerialnych i 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79E8AF1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1115AA8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Default="003E2617" w:rsidP="00474A19">
      <w:pPr>
        <w:spacing w:line="276" w:lineRule="auto"/>
        <w:jc w:val="both"/>
        <w:rPr>
          <w:rFonts w:ascii="Times New Roman" w:hAnsi="Times New Roman" w:cs="Times New Roman"/>
          <w:sz w:val="24"/>
          <w:szCs w:val="24"/>
        </w:rPr>
      </w:pPr>
    </w:p>
    <w:p w14:paraId="4C668F7E" w14:textId="77777777" w:rsidR="00EA0469" w:rsidRPr="00474A19" w:rsidRDefault="00EA0469" w:rsidP="00474A19">
      <w:pPr>
        <w:spacing w:line="276" w:lineRule="auto"/>
        <w:jc w:val="both"/>
        <w:rPr>
          <w:rFonts w:ascii="Times New Roman" w:hAnsi="Times New Roman" w:cs="Times New Roman"/>
          <w:sz w:val="24"/>
          <w:szCs w:val="24"/>
        </w:rPr>
      </w:pPr>
    </w:p>
    <w:p w14:paraId="2AF16630" w14:textId="77777777" w:rsidR="009B5E24" w:rsidRPr="009B5E24" w:rsidRDefault="009B5E24"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(t.j.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01E5BE6B" w14:textId="7CF2A205" w:rsidR="00E04D22" w:rsidRPr="00CA7108" w:rsidRDefault="005E0712" w:rsidP="00CA7108">
      <w:pPr>
        <w:spacing w:line="276" w:lineRule="auto"/>
        <w:ind w:firstLine="360"/>
        <w:jc w:val="both"/>
        <w:rPr>
          <w:rFonts w:ascii="Times New Roman" w:hAnsi="Times New Roman" w:cs="Times New Roman"/>
          <w:color w:val="000000" w:themeColor="text1"/>
          <w:sz w:val="24"/>
          <w:szCs w:val="24"/>
        </w:rPr>
      </w:pPr>
      <w:r w:rsidRPr="00CA7108">
        <w:rPr>
          <w:rFonts w:ascii="Times New Roman" w:hAnsi="Times New Roman" w:cs="Times New Roman"/>
          <w:color w:val="000000" w:themeColor="text1"/>
          <w:sz w:val="24"/>
          <w:szCs w:val="24"/>
        </w:rPr>
        <w:t>Obejmują:</w:t>
      </w:r>
    </w:p>
    <w:p w14:paraId="4014F42C" w14:textId="2142A577" w:rsidR="0054336A" w:rsidRPr="00CA7108" w:rsidRDefault="00E04D22" w:rsidP="00CA7108">
      <w:pPr>
        <w:pStyle w:val="Akapitzlist"/>
        <w:spacing w:line="276" w:lineRule="auto"/>
        <w:jc w:val="both"/>
        <w:rPr>
          <w:rFonts w:ascii="Times New Roman" w:hAnsi="Times New Roman" w:cs="Times New Roman"/>
          <w:color w:val="000000" w:themeColor="text1"/>
          <w:sz w:val="24"/>
          <w:szCs w:val="24"/>
        </w:rPr>
      </w:pPr>
      <w:r w:rsidRPr="00CA7108">
        <w:rPr>
          <w:rFonts w:ascii="Times New Roman" w:hAnsi="Times New Roman" w:cs="Times New Roman"/>
          <w:color w:val="000000" w:themeColor="text1"/>
          <w:sz w:val="24"/>
          <w:szCs w:val="24"/>
        </w:rPr>
        <w:t xml:space="preserve">- </w:t>
      </w:r>
      <w:r w:rsidR="00173346" w:rsidRPr="00CA7108">
        <w:rPr>
          <w:rFonts w:ascii="Times New Roman" w:hAnsi="Times New Roman" w:cs="Times New Roman"/>
          <w:color w:val="000000" w:themeColor="text1"/>
          <w:sz w:val="24"/>
          <w:szCs w:val="24"/>
        </w:rPr>
        <w:t xml:space="preserve">art. </w:t>
      </w:r>
      <w:r w:rsidR="007555CA" w:rsidRPr="00CA7108">
        <w:rPr>
          <w:rFonts w:ascii="Times New Roman" w:hAnsi="Times New Roman" w:cs="Times New Roman"/>
          <w:color w:val="000000" w:themeColor="text1"/>
          <w:sz w:val="24"/>
          <w:szCs w:val="24"/>
        </w:rPr>
        <w:t>spożywcze</w:t>
      </w:r>
      <w:r w:rsidR="00173346" w:rsidRPr="00CA7108">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w:t>
      </w:r>
      <w:r w:rsidR="009B5E24" w:rsidRPr="00F412EC">
        <w:rPr>
          <w:rFonts w:ascii="Times New Roman" w:hAnsi="Times New Roman" w:cs="Times New Roman"/>
          <w:sz w:val="24"/>
          <w:szCs w:val="24"/>
        </w:rPr>
        <w:lastRenderedPageBreak/>
        <w:t xml:space="preserve">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79217997" w:rsidR="00255138" w:rsidRPr="00EA0469" w:rsidRDefault="00255138"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 xml:space="preserve">Faktury ustrukturyzowane </w:t>
      </w: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w:t>
      </w:r>
      <w:r w:rsidRPr="0015098D">
        <w:rPr>
          <w:rFonts w:ascii="Times New Roman" w:hAnsi="Times New Roman" w:cs="Times New Roman"/>
          <w:sz w:val="24"/>
          <w:szCs w:val="24"/>
        </w:rPr>
        <w:lastRenderedPageBreak/>
        <w:t>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9listopada 2018 r. o elektronicznym fakturowaniu w zamówieniach publicznych, koncesjach na roboty budowlane lub usługi oraz partnerstwie publiczno-prawnym (Dz.U. z 23 listopada 2018 r. poz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3B211FD" w14:textId="1786362C" w:rsidR="00152DEA" w:rsidRDefault="00152DEA"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Zaangażowanie</w:t>
      </w:r>
    </w:p>
    <w:p w14:paraId="643ADBCB"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2E13F64" w14:textId="77777777" w:rsidR="00EA0469" w:rsidRDefault="00EA0469" w:rsidP="001727B2">
      <w:pPr>
        <w:pStyle w:val="Akapitzlist"/>
        <w:spacing w:line="276" w:lineRule="auto"/>
        <w:ind w:left="708"/>
        <w:jc w:val="both"/>
        <w:rPr>
          <w:rFonts w:ascii="Times New Roman" w:hAnsi="Times New Roman" w:cs="Times New Roman"/>
          <w:sz w:val="24"/>
          <w:szCs w:val="24"/>
        </w:rPr>
      </w:pPr>
    </w:p>
    <w:p w14:paraId="1381E9F9" w14:textId="2D074D63"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Zasady prowadzenia ewidencji:</w:t>
      </w:r>
    </w:p>
    <w:p w14:paraId="52381BFC"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WNiP</w:t>
      </w:r>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w.n.p.</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w.n.p.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podnumer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0E170E74" w14:textId="77777777" w:rsidR="00CA7108" w:rsidRDefault="00B37518" w:rsidP="00CA710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odpisom amortyzacyjnym podlegają podstawowe środki trwałe ujęte na koncie 011 oraz w.n.p. ujęte na koncie 020, przy zastosowaniu stawek określonych  w  załączniku nr 1 do ustawy o podatku dochodowym od osób prawnych. W.n.p.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081E5106" w:rsidR="00EB76F4" w:rsidRPr="00CA7108" w:rsidRDefault="00251000" w:rsidP="00CA7108">
      <w:pPr>
        <w:pStyle w:val="Akapitzlist"/>
        <w:numPr>
          <w:ilvl w:val="0"/>
          <w:numId w:val="1"/>
        </w:numPr>
        <w:spacing w:line="276" w:lineRule="auto"/>
        <w:jc w:val="both"/>
        <w:rPr>
          <w:rFonts w:ascii="Times New Roman" w:hAnsi="Times New Roman" w:cs="Times New Roman"/>
          <w:sz w:val="24"/>
          <w:szCs w:val="24"/>
        </w:rPr>
      </w:pPr>
      <w:r w:rsidRPr="00CA7108">
        <w:rPr>
          <w:rFonts w:ascii="Times New Roman" w:hAnsi="Times New Roman" w:cs="Times New Roman"/>
          <w:color w:val="000000" w:themeColor="text1"/>
          <w:sz w:val="24"/>
          <w:szCs w:val="24"/>
        </w:rPr>
        <w:t>k</w:t>
      </w:r>
      <w:r w:rsidR="004944FA" w:rsidRPr="00CA7108">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4F72B9" w:rsidRPr="00CA7108">
        <w:rPr>
          <w:rFonts w:ascii="Times New Roman" w:hAnsi="Times New Roman" w:cs="Times New Roman"/>
          <w:color w:val="FF0000"/>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umarzanie i amortyzowanie środków trwałych i w.n.p.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77777777" w:rsidR="00FB6729" w:rsidRDefault="0083280C" w:rsidP="00EA0469">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Pr>
          <w:rFonts w:ascii="Times New Roman" w:hAnsi="Times New Roman" w:cs="Times New Roman"/>
          <w:b/>
          <w:bCs/>
          <w:sz w:val="24"/>
          <w:szCs w:val="24"/>
        </w:rPr>
        <w:tab/>
      </w:r>
      <w:r w:rsidR="009B5E24" w:rsidRPr="0083280C">
        <w:rPr>
          <w:rFonts w:ascii="Times New Roman" w:hAnsi="Times New Roman" w:cs="Times New Roman"/>
          <w:b/>
          <w:bCs/>
          <w:sz w:val="24"/>
          <w:szCs w:val="24"/>
        </w:rPr>
        <w:t>Zasady ewidencji na koncie 998;</w:t>
      </w: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06FAE163" w14:textId="77777777" w:rsidR="00EA0469" w:rsidRDefault="009B5E24" w:rsidP="00EA0469">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40BAD06F" w14:textId="7B46C800" w:rsidR="009B5E24" w:rsidRPr="00EA0469" w:rsidRDefault="00EA0469" w:rsidP="00EA0469">
      <w:pPr>
        <w:pStyle w:val="Akapitzlist"/>
        <w:numPr>
          <w:ilvl w:val="0"/>
          <w:numId w:val="48"/>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9B5E24" w:rsidRPr="00EA0469">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7CD5DCAD" w14:textId="0A9F0555"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Wn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DAC18EE"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 xml:space="preserve">Inwentaryzacja </w:t>
      </w:r>
    </w:p>
    <w:p w14:paraId="2F2BC1AD"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ma zastosowania tzw. „milczące” potwierdzenie sald. Jeżeli we wskazanym terminie kontrahent nie potwierdzi salda, wówczas należy przeprowadzić </w:t>
      </w:r>
      <w:r>
        <w:rPr>
          <w:rFonts w:ascii="Times New Roman" w:hAnsi="Times New Roman" w:cs="Times New Roman"/>
          <w:sz w:val="24"/>
          <w:szCs w:val="24"/>
        </w:rPr>
        <w:lastRenderedPageBreak/>
        <w:t>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3875899B"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Zaliczki</w:t>
      </w:r>
    </w:p>
    <w:p w14:paraId="6677A77C"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zaliczkobiorcę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zaliczkobiorcę.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3F735869" w:rsidR="007C630C"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Podzielona płatność</w:t>
      </w:r>
    </w:p>
    <w:p w14:paraId="669EAEA4"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split payment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r w:rsidR="009B5E24" w:rsidRPr="007C630C">
        <w:rPr>
          <w:rFonts w:ascii="Times New Roman" w:hAnsi="Times New Roman" w:cs="Times New Roman"/>
          <w:sz w:val="24"/>
          <w:szCs w:val="24"/>
        </w:rPr>
        <w:t>późn.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Default="002B4AFB" w:rsidP="00BD0DA5">
      <w:pPr>
        <w:spacing w:line="276" w:lineRule="auto"/>
        <w:jc w:val="both"/>
        <w:rPr>
          <w:rFonts w:ascii="Times New Roman" w:hAnsi="Times New Roman" w:cs="Times New Roman"/>
          <w:sz w:val="24"/>
          <w:szCs w:val="24"/>
        </w:rPr>
      </w:pPr>
    </w:p>
    <w:p w14:paraId="22352684" w14:textId="77777777" w:rsidR="00EA0469" w:rsidRDefault="00EA0469" w:rsidP="00BD0DA5">
      <w:pPr>
        <w:spacing w:line="276" w:lineRule="auto"/>
        <w:jc w:val="both"/>
        <w:rPr>
          <w:rFonts w:ascii="Times New Roman" w:hAnsi="Times New Roman" w:cs="Times New Roman"/>
          <w:sz w:val="24"/>
          <w:szCs w:val="24"/>
        </w:rPr>
      </w:pPr>
    </w:p>
    <w:p w14:paraId="3988D275" w14:textId="77777777" w:rsidR="00EA0469" w:rsidRPr="009B5E24" w:rsidRDefault="00EA0469" w:rsidP="00BD0DA5">
      <w:pPr>
        <w:spacing w:line="276" w:lineRule="auto"/>
        <w:jc w:val="both"/>
        <w:rPr>
          <w:rFonts w:ascii="Times New Roman" w:hAnsi="Times New Roman" w:cs="Times New Roman"/>
          <w:sz w:val="24"/>
          <w:szCs w:val="24"/>
        </w:rPr>
      </w:pPr>
    </w:p>
    <w:p w14:paraId="3F2BDBC6" w14:textId="5A2F8949" w:rsidR="00D30D20" w:rsidRDefault="009B5E24" w:rsidP="00EA0469">
      <w:pPr>
        <w:pStyle w:val="Akapitzlist"/>
        <w:numPr>
          <w:ilvl w:val="0"/>
          <w:numId w:val="48"/>
        </w:numPr>
        <w:spacing w:line="276" w:lineRule="auto"/>
        <w:jc w:val="both"/>
        <w:rPr>
          <w:rFonts w:ascii="Times New Roman" w:hAnsi="Times New Roman" w:cs="Times New Roman"/>
          <w:b/>
          <w:bCs/>
          <w:sz w:val="24"/>
          <w:szCs w:val="24"/>
        </w:rPr>
      </w:pPr>
      <w:bookmarkStart w:id="2" w:name="_Hlk155377602"/>
      <w:r w:rsidRPr="00EA0469">
        <w:rPr>
          <w:rFonts w:ascii="Times New Roman" w:hAnsi="Times New Roman" w:cs="Times New Roman"/>
          <w:b/>
          <w:bCs/>
          <w:sz w:val="24"/>
          <w:szCs w:val="24"/>
        </w:rPr>
        <w:lastRenderedPageBreak/>
        <w:t>Ustalenie wyniku finansowego</w:t>
      </w:r>
    </w:p>
    <w:p w14:paraId="57FAAF57"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43B68E67" w:rsidR="00D30D20" w:rsidRDefault="00D30D20"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Zmiany</w:t>
      </w:r>
      <w:r w:rsidRPr="00EA0469">
        <w:rPr>
          <w:rFonts w:ascii="Times New Roman" w:hAnsi="Times New Roman" w:cs="Times New Roman"/>
          <w:sz w:val="24"/>
          <w:szCs w:val="24"/>
        </w:rPr>
        <w:t xml:space="preserve"> </w:t>
      </w:r>
      <w:r w:rsidRPr="00EA0469">
        <w:rPr>
          <w:rFonts w:ascii="Times New Roman" w:hAnsi="Times New Roman" w:cs="Times New Roman"/>
          <w:b/>
          <w:bCs/>
          <w:sz w:val="24"/>
          <w:szCs w:val="24"/>
        </w:rPr>
        <w:t>zasad polityki rachunkowości, wartości szacunkowych, poprawianie błędów, zdarzenia następujące po dniu bilansowym.</w:t>
      </w:r>
    </w:p>
    <w:p w14:paraId="74B52591"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1CFCD0ED"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Ochrona danych  odbywa się poprzez:</w:t>
      </w:r>
    </w:p>
    <w:p w14:paraId="51E4BB2F"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udostępnienie osobie trzeciej zbiorów lub ich części następuje do wglądu na terenie jednostki – za zgodą kierownika jednostki, poza siedzibą jednostki – </w:t>
      </w:r>
      <w:r w:rsidRPr="00D30D20">
        <w:rPr>
          <w:rFonts w:ascii="Times New Roman" w:hAnsi="Times New Roman" w:cs="Times New Roman"/>
          <w:sz w:val="24"/>
          <w:szCs w:val="24"/>
        </w:rPr>
        <w:lastRenderedPageBreak/>
        <w:t>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2A3D6346"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Przetwarzanie danych</w:t>
      </w:r>
    </w:p>
    <w:p w14:paraId="0D93C3BA"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700CAC57" w14:textId="77777777" w:rsidR="00EA0469" w:rsidRDefault="00EA0469" w:rsidP="00D9263B">
      <w:pPr>
        <w:spacing w:line="276" w:lineRule="auto"/>
        <w:ind w:left="708"/>
        <w:jc w:val="both"/>
        <w:rPr>
          <w:rFonts w:ascii="Times New Roman" w:hAnsi="Times New Roman" w:cs="Times New Roman"/>
          <w:sz w:val="24"/>
          <w:szCs w:val="24"/>
        </w:rPr>
      </w:pPr>
    </w:p>
    <w:p w14:paraId="3B743E2F" w14:textId="24059D5D" w:rsidR="009B5E24" w:rsidRPr="00EA0469" w:rsidRDefault="009B5E24" w:rsidP="00EA0469">
      <w:pPr>
        <w:pStyle w:val="Akapitzlist"/>
        <w:numPr>
          <w:ilvl w:val="0"/>
          <w:numId w:val="48"/>
        </w:numPr>
        <w:spacing w:line="276" w:lineRule="auto"/>
        <w:jc w:val="both"/>
        <w:rPr>
          <w:rFonts w:ascii="Times New Roman" w:hAnsi="Times New Roman" w:cs="Times New Roman"/>
          <w:sz w:val="24"/>
          <w:szCs w:val="24"/>
        </w:rPr>
      </w:pPr>
      <w:r w:rsidRPr="00EA0469">
        <w:rPr>
          <w:rFonts w:ascii="Times New Roman" w:hAnsi="Times New Roman" w:cs="Times New Roman"/>
          <w:b/>
          <w:bCs/>
          <w:sz w:val="24"/>
          <w:szCs w:val="24"/>
        </w:rPr>
        <w:t>Wykaz zbiorów tworzących księgi rachunkowe na nośnikach elektronicznych</w:t>
      </w:r>
      <w:r w:rsidR="005476A9" w:rsidRPr="00EA0469">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r w:rsidR="00F64B6A">
        <w:rPr>
          <w:rFonts w:ascii="Times New Roman" w:hAnsi="Times New Roman" w:cs="Times New Roman"/>
          <w:sz w:val="24"/>
          <w:szCs w:val="24"/>
        </w:rPr>
        <w:t>Vulcan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Płace VULCAN–dostawca Vulcan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7A5642F9" w14:textId="77777777" w:rsidR="00EA0469" w:rsidRDefault="00EA0469" w:rsidP="00EA0469">
      <w:pPr>
        <w:pStyle w:val="Akapitzlist"/>
        <w:spacing w:line="276" w:lineRule="auto"/>
        <w:jc w:val="both"/>
        <w:rPr>
          <w:rFonts w:ascii="Times New Roman" w:hAnsi="Times New Roman" w:cs="Times New Roman"/>
          <w:sz w:val="24"/>
          <w:szCs w:val="24"/>
        </w:rPr>
      </w:pP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FF99159"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Lokalizacja zbiorów tworzących księgi rachunkowe na nośnikach elektronicznych</w:t>
      </w:r>
      <w:r w:rsidR="005476A9" w:rsidRPr="00EA0469">
        <w:rPr>
          <w:rFonts w:ascii="Times New Roman" w:hAnsi="Times New Roman" w:cs="Times New Roman"/>
          <w:b/>
          <w:bCs/>
          <w:sz w:val="24"/>
          <w:szCs w:val="24"/>
        </w:rPr>
        <w:t>.</w:t>
      </w:r>
    </w:p>
    <w:p w14:paraId="73A0A154"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Vulcan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w:t>
      </w:r>
      <w:r w:rsidRPr="009B5E24">
        <w:rPr>
          <w:rFonts w:ascii="Times New Roman" w:hAnsi="Times New Roman" w:cs="Times New Roman"/>
          <w:sz w:val="24"/>
          <w:szCs w:val="24"/>
        </w:rPr>
        <w:lastRenderedPageBreak/>
        <w:t>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Finanse Vulcan</w:t>
      </w:r>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Nazwa zbioru: Baza danych systemu Finanse Vulcan;</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Płace Vulcan;</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Płace Vulcan</w:t>
      </w:r>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Baza danych systemu Płace Vulcan;</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systemu Finanse Vulcan;</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0D8BC9A1" w14:textId="77777777" w:rsidR="00EA0469" w:rsidRDefault="00EA0469" w:rsidP="00D9263B">
      <w:pPr>
        <w:pStyle w:val="Akapitzlist"/>
        <w:spacing w:line="276" w:lineRule="auto"/>
        <w:jc w:val="both"/>
        <w:rPr>
          <w:rFonts w:ascii="Times New Roman" w:hAnsi="Times New Roman" w:cs="Times New Roman"/>
          <w:sz w:val="24"/>
          <w:szCs w:val="24"/>
        </w:rPr>
      </w:pPr>
    </w:p>
    <w:p w14:paraId="1BCA8917" w14:textId="41345CF8" w:rsidR="009B5E24" w:rsidRPr="00EA0469"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Charakterystyka programów przetwarzających dane księgowe</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673C5DF4" w:rsidR="009B5E24" w:rsidRPr="00EA0469"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E0C639E" w:rsidR="006A5BF8" w:rsidRPr="00EA0469" w:rsidRDefault="006A5BF8"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60535E03" w:rsidR="009B5E24" w:rsidRDefault="009B5E24" w:rsidP="00EA0469">
      <w:pPr>
        <w:pStyle w:val="Akapitzlist"/>
        <w:numPr>
          <w:ilvl w:val="0"/>
          <w:numId w:val="48"/>
        </w:numPr>
        <w:spacing w:line="276" w:lineRule="auto"/>
        <w:jc w:val="both"/>
        <w:rPr>
          <w:rFonts w:ascii="Times New Roman" w:hAnsi="Times New Roman" w:cs="Times New Roman"/>
          <w:b/>
          <w:bCs/>
          <w:sz w:val="24"/>
          <w:szCs w:val="24"/>
        </w:rPr>
      </w:pPr>
      <w:r w:rsidRPr="00EA0469">
        <w:rPr>
          <w:rFonts w:ascii="Times New Roman" w:hAnsi="Times New Roman" w:cs="Times New Roman"/>
          <w:b/>
          <w:bCs/>
          <w:sz w:val="24"/>
          <w:szCs w:val="24"/>
        </w:rPr>
        <w:lastRenderedPageBreak/>
        <w:t>Zasady ochrony danych i ich zbiorów generowane z komputerowych programów</w:t>
      </w:r>
      <w:r w:rsidR="006A5BF8" w:rsidRPr="00EA0469">
        <w:rPr>
          <w:rFonts w:ascii="Times New Roman" w:hAnsi="Times New Roman" w:cs="Times New Roman"/>
          <w:b/>
          <w:bCs/>
          <w:sz w:val="24"/>
          <w:szCs w:val="24"/>
        </w:rPr>
        <w:t xml:space="preserve">   </w:t>
      </w:r>
      <w:r w:rsidRPr="00EA0469">
        <w:rPr>
          <w:rFonts w:ascii="Times New Roman" w:hAnsi="Times New Roman" w:cs="Times New Roman"/>
          <w:b/>
          <w:bCs/>
          <w:sz w:val="24"/>
          <w:szCs w:val="24"/>
        </w:rPr>
        <w:t>przetwarzania</w:t>
      </w:r>
      <w:r w:rsidR="005476A9" w:rsidRPr="00EA0469">
        <w:rPr>
          <w:rFonts w:ascii="Times New Roman" w:hAnsi="Times New Roman" w:cs="Times New Roman"/>
          <w:b/>
          <w:bCs/>
          <w:sz w:val="24"/>
          <w:szCs w:val="24"/>
        </w:rPr>
        <w:t>.</w:t>
      </w:r>
    </w:p>
    <w:p w14:paraId="05F7C788" w14:textId="77777777" w:rsidR="00EA0469" w:rsidRPr="00EA0469" w:rsidRDefault="00EA0469" w:rsidP="00EA0469">
      <w:pPr>
        <w:pStyle w:val="Akapitzlist"/>
        <w:spacing w:line="276" w:lineRule="auto"/>
        <w:ind w:left="1065"/>
        <w:jc w:val="both"/>
        <w:rPr>
          <w:rFonts w:ascii="Times New Roman" w:hAnsi="Times New Roman" w:cs="Times New Roman"/>
          <w:b/>
          <w:bCs/>
          <w:sz w:val="24"/>
          <w:szCs w:val="24"/>
        </w:rPr>
      </w:pP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Mając na względzie powyższe zagrożenia zostały zawarte umowy licencyjne oraz umowa przetwarzania danych osobowych pomiędzy MZEAS a firmą Vulcan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6DCCB7F" w14:textId="77777777" w:rsidR="001C1463" w:rsidRPr="001C1463" w:rsidRDefault="001C1463" w:rsidP="00EA0469">
      <w:pPr>
        <w:spacing w:line="276" w:lineRule="auto"/>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735C8CE5" w14:textId="77777777" w:rsidR="00EA0469" w:rsidRDefault="00EA0469" w:rsidP="00BD0DA5">
      <w:pPr>
        <w:spacing w:line="276" w:lineRule="auto"/>
        <w:jc w:val="both"/>
        <w:rPr>
          <w:rFonts w:ascii="Times New Roman" w:hAnsi="Times New Roman" w:cs="Times New Roman"/>
          <w:sz w:val="24"/>
          <w:szCs w:val="24"/>
        </w:rPr>
      </w:pPr>
    </w:p>
    <w:p w14:paraId="5A8C6221" w14:textId="77777777" w:rsidR="00EA0469" w:rsidRPr="009B5E24" w:rsidRDefault="00EA0469"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samorządowych zakładów budżetowych oraz dla budżetu jednostek samorządu terytorialnego” Maria Augustowska, Wojciech Rup.</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Wn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569D738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może wykazywać saldo Wn,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130 może wykazywać saldo Wn,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wydatków budżetowych; konto 130 w zakresie wydatków budżetowych może wykazywać saldo Wn,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Wn,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może mieć dwa salda. Saldo Wn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może mieć dwa salda. Saldo Wn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225 może wykazywać dwa salda. Saldo Wn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Listy płac generowane z programu Płace Vulcan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ujmuje się zmniejszenia wartości odpisów aktualizujących należności a na stronie Ma naliczone odpisy i ich zwiększenia. Należności umorzone, przedawnione lub </w:t>
      </w:r>
      <w:r w:rsidRPr="009B5E24">
        <w:rPr>
          <w:rFonts w:ascii="Times New Roman" w:hAnsi="Times New Roman" w:cs="Times New Roman"/>
          <w:sz w:val="24"/>
          <w:szCs w:val="24"/>
        </w:rPr>
        <w:lastRenderedPageBreak/>
        <w:t>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ewidencjonuje się wszelkie rozchody zapasów z magazynów. Konto 310 może wykazywać saldo Wn,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400 może wykazywać w ciągu roku obrotowego saldo Wn,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Wn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Default="000C65D3" w:rsidP="00BD0DA5">
      <w:pPr>
        <w:spacing w:line="276" w:lineRule="auto"/>
        <w:jc w:val="both"/>
        <w:rPr>
          <w:rFonts w:ascii="Times New Roman" w:hAnsi="Times New Roman" w:cs="Times New Roman"/>
          <w:sz w:val="24"/>
          <w:szCs w:val="24"/>
        </w:rPr>
      </w:pPr>
    </w:p>
    <w:p w14:paraId="7D18B651" w14:textId="77777777" w:rsidR="00EA0469" w:rsidRDefault="00EA0469" w:rsidP="00BD0DA5">
      <w:pPr>
        <w:spacing w:line="276" w:lineRule="auto"/>
        <w:jc w:val="both"/>
        <w:rPr>
          <w:rFonts w:ascii="Times New Roman" w:hAnsi="Times New Roman" w:cs="Times New Roman"/>
          <w:sz w:val="24"/>
          <w:szCs w:val="24"/>
        </w:rPr>
      </w:pPr>
    </w:p>
    <w:p w14:paraId="6C46B160" w14:textId="77777777" w:rsidR="00EA0469" w:rsidRPr="009B5E24" w:rsidRDefault="00EA0469"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Wn konta ujmuje się poniesione koszty z ww. tytułów, a na stronie Ma ich zmniejszenie oraz na dzień bilansowy ujmuje się przeniesienie poniesionych kosztów na konto 860. </w:t>
      </w:r>
    </w:p>
    <w:p w14:paraId="307F6E8F" w14:textId="6F0F9E04" w:rsidR="009B5E24" w:rsidRDefault="009B5E24" w:rsidP="00EA04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Wa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w:t>
      </w:r>
      <w:r w:rsidR="00E26314">
        <w:rPr>
          <w:rFonts w:ascii="Times New Roman" w:hAnsi="Times New Roman" w:cs="Times New Roman"/>
          <w:sz w:val="24"/>
          <w:szCs w:val="24"/>
        </w:rPr>
        <w:t>n</w:t>
      </w:r>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Ma ujmuje się przychody z tytułu operacji finansowych, na stronie Wn księgujemy przeniesienie w końcu roku przychodów ze sprzedaży produktów na konto 860</w:t>
      </w:r>
    </w:p>
    <w:p w14:paraId="002B5653" w14:textId="77777777" w:rsidR="009B5E24" w:rsidRDefault="009B5E24" w:rsidP="00BD0DA5">
      <w:pPr>
        <w:spacing w:line="276" w:lineRule="auto"/>
        <w:jc w:val="both"/>
        <w:rPr>
          <w:rFonts w:ascii="Times New Roman" w:hAnsi="Times New Roman" w:cs="Times New Roman"/>
          <w:sz w:val="24"/>
          <w:szCs w:val="24"/>
        </w:rPr>
      </w:pPr>
    </w:p>
    <w:p w14:paraId="10CCA0BF" w14:textId="77777777" w:rsidR="00EA0469" w:rsidRPr="009B5E24" w:rsidRDefault="00EA0469"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Na stronie Wn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Na stronie Wn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030980D0" w14:textId="77777777" w:rsidR="009B5E24" w:rsidRDefault="009B5E24"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Na stronie Wn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Default="009B5E24" w:rsidP="00BD0DA5">
      <w:pPr>
        <w:spacing w:line="276" w:lineRule="auto"/>
        <w:jc w:val="both"/>
        <w:rPr>
          <w:rFonts w:ascii="Times New Roman" w:hAnsi="Times New Roman" w:cs="Times New Roman"/>
          <w:sz w:val="24"/>
          <w:szCs w:val="24"/>
        </w:rPr>
      </w:pPr>
    </w:p>
    <w:p w14:paraId="3FEF6565" w14:textId="77777777" w:rsidR="00EA0469" w:rsidRPr="009B5E24" w:rsidRDefault="00EA0469"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Wn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wartości niematerialnych i prawnych (zapis równoległy do zapłaty – Wn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 xml:space="preserve">ze środków budżetowych na finansowanie własnych środków (Wn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wszystkie zwiększenia ZFŚS, natomiast zmniejszenia funduszu łącznie z kosztami działalności socjalnej ujmuje się po stronie Wn.</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końcu roku obrotowego pod datą 31 grudnia księguje się na stronie Wn:</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(Wn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 tytułu dochodów budżetowych ( Wn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(Wn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Wn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Wn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m-cy.</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Wn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przychody księgujemy: Wn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księgujemy : Wn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Wn – należności, Ma – wpłata należności, saldo Wn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zobowiązania: Wn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Wn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29416DF8"/>
    <w:multiLevelType w:val="hybridMultilevel"/>
    <w:tmpl w:val="485AF22A"/>
    <w:lvl w:ilvl="0" w:tplc="B5006BDA">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435D0725"/>
    <w:multiLevelType w:val="hybridMultilevel"/>
    <w:tmpl w:val="69BCAC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E8F01E0"/>
    <w:multiLevelType w:val="hybridMultilevel"/>
    <w:tmpl w:val="BF7A389A"/>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9"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1"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3"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4"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5"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1"/>
  </w:num>
  <w:num w:numId="3" w16cid:durableId="1081565836">
    <w:abstractNumId w:val="20"/>
  </w:num>
  <w:num w:numId="4" w16cid:durableId="1014764825">
    <w:abstractNumId w:val="24"/>
  </w:num>
  <w:num w:numId="5" w16cid:durableId="27535067">
    <w:abstractNumId w:val="13"/>
  </w:num>
  <w:num w:numId="6" w16cid:durableId="1635983374">
    <w:abstractNumId w:val="27"/>
  </w:num>
  <w:num w:numId="7" w16cid:durableId="190268128">
    <w:abstractNumId w:val="1"/>
  </w:num>
  <w:num w:numId="8" w16cid:durableId="1903179221">
    <w:abstractNumId w:val="39"/>
  </w:num>
  <w:num w:numId="9" w16cid:durableId="211314065">
    <w:abstractNumId w:val="40"/>
  </w:num>
  <w:num w:numId="10" w16cid:durableId="558445366">
    <w:abstractNumId w:val="38"/>
  </w:num>
  <w:num w:numId="11" w16cid:durableId="1521312623">
    <w:abstractNumId w:val="23"/>
  </w:num>
  <w:num w:numId="12" w16cid:durableId="1956643284">
    <w:abstractNumId w:val="37"/>
  </w:num>
  <w:num w:numId="13" w16cid:durableId="1808088375">
    <w:abstractNumId w:val="8"/>
  </w:num>
  <w:num w:numId="14" w16cid:durableId="994454650">
    <w:abstractNumId w:val="30"/>
  </w:num>
  <w:num w:numId="15" w16cid:durableId="368140367">
    <w:abstractNumId w:val="5"/>
  </w:num>
  <w:num w:numId="16" w16cid:durableId="1090545236">
    <w:abstractNumId w:val="47"/>
  </w:num>
  <w:num w:numId="17" w16cid:durableId="1881169144">
    <w:abstractNumId w:val="28"/>
  </w:num>
  <w:num w:numId="18" w16cid:durableId="902524982">
    <w:abstractNumId w:val="10"/>
  </w:num>
  <w:num w:numId="19" w16cid:durableId="1150756200">
    <w:abstractNumId w:val="18"/>
  </w:num>
  <w:num w:numId="20" w16cid:durableId="903758382">
    <w:abstractNumId w:val="17"/>
  </w:num>
  <w:num w:numId="21" w16cid:durableId="460267903">
    <w:abstractNumId w:val="35"/>
  </w:num>
  <w:num w:numId="22" w16cid:durableId="1618296613">
    <w:abstractNumId w:val="22"/>
  </w:num>
  <w:num w:numId="23" w16cid:durableId="1068111873">
    <w:abstractNumId w:val="25"/>
  </w:num>
  <w:num w:numId="24" w16cid:durableId="259800601">
    <w:abstractNumId w:val="42"/>
  </w:num>
  <w:num w:numId="25" w16cid:durableId="132674219">
    <w:abstractNumId w:val="41"/>
  </w:num>
  <w:num w:numId="26" w16cid:durableId="222104945">
    <w:abstractNumId w:val="33"/>
  </w:num>
  <w:num w:numId="27" w16cid:durableId="21103070">
    <w:abstractNumId w:val="34"/>
  </w:num>
  <w:num w:numId="28" w16cid:durableId="149754758">
    <w:abstractNumId w:val="7"/>
  </w:num>
  <w:num w:numId="29" w16cid:durableId="1777865678">
    <w:abstractNumId w:val="46"/>
  </w:num>
  <w:num w:numId="30" w16cid:durableId="1524049284">
    <w:abstractNumId w:val="36"/>
  </w:num>
  <w:num w:numId="31" w16cid:durableId="2010785497">
    <w:abstractNumId w:val="3"/>
  </w:num>
  <w:num w:numId="32" w16cid:durableId="1874611317">
    <w:abstractNumId w:val="44"/>
  </w:num>
  <w:num w:numId="33" w16cid:durableId="1093283020">
    <w:abstractNumId w:val="31"/>
  </w:num>
  <w:num w:numId="34" w16cid:durableId="240717527">
    <w:abstractNumId w:val="4"/>
  </w:num>
  <w:num w:numId="35" w16cid:durableId="1923298129">
    <w:abstractNumId w:val="45"/>
  </w:num>
  <w:num w:numId="36" w16cid:durableId="501971540">
    <w:abstractNumId w:val="14"/>
  </w:num>
  <w:num w:numId="37" w16cid:durableId="931162683">
    <w:abstractNumId w:val="26"/>
  </w:num>
  <w:num w:numId="38" w16cid:durableId="1172840546">
    <w:abstractNumId w:val="2"/>
  </w:num>
  <w:num w:numId="39" w16cid:durableId="1043673510">
    <w:abstractNumId w:val="0"/>
  </w:num>
  <w:num w:numId="40" w16cid:durableId="215093978">
    <w:abstractNumId w:val="43"/>
  </w:num>
  <w:num w:numId="41" w16cid:durableId="725253644">
    <w:abstractNumId w:val="19"/>
  </w:num>
  <w:num w:numId="42" w16cid:durableId="733048222">
    <w:abstractNumId w:val="29"/>
  </w:num>
  <w:num w:numId="43" w16cid:durableId="1607078806">
    <w:abstractNumId w:val="16"/>
  </w:num>
  <w:num w:numId="44" w16cid:durableId="433794491">
    <w:abstractNumId w:val="32"/>
  </w:num>
  <w:num w:numId="45" w16cid:durableId="1747220762">
    <w:abstractNumId w:val="6"/>
  </w:num>
  <w:num w:numId="46" w16cid:durableId="573511736">
    <w:abstractNumId w:val="9"/>
  </w:num>
  <w:num w:numId="47" w16cid:durableId="1334410046">
    <w:abstractNumId w:val="21"/>
  </w:num>
  <w:num w:numId="48" w16cid:durableId="207307572">
    <w:abstractNumId w:val="1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82ACA"/>
    <w:rsid w:val="00895ED9"/>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63244"/>
    <w:rsid w:val="00A73CA5"/>
    <w:rsid w:val="00A97E01"/>
    <w:rsid w:val="00AA1EAA"/>
    <w:rsid w:val="00AB1503"/>
    <w:rsid w:val="00AC1436"/>
    <w:rsid w:val="00AC5EB5"/>
    <w:rsid w:val="00AD2E37"/>
    <w:rsid w:val="00AE01F4"/>
    <w:rsid w:val="00AF71C0"/>
    <w:rsid w:val="00B215B0"/>
    <w:rsid w:val="00B26FF0"/>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40953"/>
    <w:rsid w:val="00C43DF4"/>
    <w:rsid w:val="00C46D66"/>
    <w:rsid w:val="00C512E0"/>
    <w:rsid w:val="00C6413D"/>
    <w:rsid w:val="00C831C8"/>
    <w:rsid w:val="00CA0F70"/>
    <w:rsid w:val="00CA5D5D"/>
    <w:rsid w:val="00CA7108"/>
    <w:rsid w:val="00CB2EBF"/>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0469"/>
    <w:rsid w:val="00EA4DB4"/>
    <w:rsid w:val="00EB40E7"/>
    <w:rsid w:val="00EB76F4"/>
    <w:rsid w:val="00EE5211"/>
    <w:rsid w:val="00F16403"/>
    <w:rsid w:val="00F320CD"/>
    <w:rsid w:val="00F412EC"/>
    <w:rsid w:val="00F46BAF"/>
    <w:rsid w:val="00F62339"/>
    <w:rsid w:val="00F6328C"/>
    <w:rsid w:val="00F64B6A"/>
    <w:rsid w:val="00F72607"/>
    <w:rsid w:val="00F73E78"/>
    <w:rsid w:val="00F77539"/>
    <w:rsid w:val="00F83455"/>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13151</Words>
  <Characters>78910</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7</cp:revision>
  <cp:lastPrinted>2021-11-26T12:32:00Z</cp:lastPrinted>
  <dcterms:created xsi:type="dcterms:W3CDTF">2024-02-29T10:09:00Z</dcterms:created>
  <dcterms:modified xsi:type="dcterms:W3CDTF">2024-03-27T08:10:00Z</dcterms:modified>
</cp:coreProperties>
</file>