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C3A147" w14:textId="77777777" w:rsidR="009B5E24" w:rsidRPr="009B5E24" w:rsidRDefault="009B5E24" w:rsidP="00BD0DA5">
      <w:pPr>
        <w:spacing w:line="276" w:lineRule="auto"/>
        <w:jc w:val="both"/>
        <w:rPr>
          <w:rFonts w:ascii="Times New Roman" w:hAnsi="Times New Roman" w:cs="Times New Roman"/>
          <w:sz w:val="24"/>
          <w:szCs w:val="24"/>
        </w:rPr>
      </w:pPr>
    </w:p>
    <w:p w14:paraId="740EED2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BAC81CC" w14:textId="0E15F17C" w:rsidR="009B5E24" w:rsidRPr="009B5E24" w:rsidRDefault="006B7172"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Załącznik nr 1</w:t>
      </w:r>
      <w:r w:rsidR="00523A56">
        <w:rPr>
          <w:rFonts w:ascii="Times New Roman" w:hAnsi="Times New Roman" w:cs="Times New Roman"/>
          <w:sz w:val="24"/>
          <w:szCs w:val="24"/>
        </w:rPr>
        <w:t>7</w:t>
      </w:r>
      <w:bookmarkStart w:id="0" w:name="_GoBack"/>
      <w:bookmarkEnd w:id="0"/>
    </w:p>
    <w:p w14:paraId="23FC7BE7" w14:textId="3D779D9E"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w:t>
      </w:r>
      <w:r w:rsidR="006B7172">
        <w:rPr>
          <w:rFonts w:ascii="Times New Roman" w:hAnsi="Times New Roman" w:cs="Times New Roman"/>
          <w:sz w:val="24"/>
          <w:szCs w:val="24"/>
        </w:rPr>
        <w:t>r 12/2020</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6641957D"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6B7172">
        <w:rPr>
          <w:rFonts w:ascii="Times New Roman" w:hAnsi="Times New Roman" w:cs="Times New Roman"/>
          <w:sz w:val="24"/>
          <w:szCs w:val="24"/>
        </w:rPr>
        <w:t xml:space="preserve"> 21.12.2020</w:t>
      </w:r>
      <w:r w:rsidR="009B5E24" w:rsidRPr="009B5E24">
        <w:rPr>
          <w:rFonts w:ascii="Times New Roman" w:hAnsi="Times New Roman" w:cs="Times New Roman"/>
          <w:sz w:val="24"/>
          <w:szCs w:val="24"/>
        </w:rPr>
        <w:t xml:space="preserve"> 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590AD275"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1.</w:t>
      </w:r>
      <w:r w:rsidRPr="009B5E24">
        <w:rPr>
          <w:rFonts w:ascii="Times New Roman" w:hAnsi="Times New Roman" w:cs="Times New Roman"/>
          <w:b/>
          <w:bCs/>
          <w:sz w:val="24"/>
          <w:szCs w:val="24"/>
        </w:rPr>
        <w:tab/>
        <w:t>Cel prowadzenia ksiąg rachunkowych.</w:t>
      </w:r>
    </w:p>
    <w:p w14:paraId="36B8CDAD" w14:textId="59756E6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Prowadzone księgi rachunkowe służą do rejestracji zdarzeń gospodarczych, które wystąpiły w </w:t>
      </w:r>
      <w:r>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3CDDE317"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2.</w:t>
      </w:r>
      <w:r w:rsidRPr="009B5E24">
        <w:rPr>
          <w:rFonts w:ascii="Times New Roman" w:hAnsi="Times New Roman" w:cs="Times New Roman"/>
          <w:b/>
          <w:bCs/>
          <w:sz w:val="24"/>
          <w:szCs w:val="24"/>
        </w:rPr>
        <w:tab/>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053FE75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77777777"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3.</w:t>
      </w:r>
      <w:r w:rsidRPr="009B5E24">
        <w:rPr>
          <w:rFonts w:ascii="Times New Roman" w:hAnsi="Times New Roman" w:cs="Times New Roman"/>
          <w:b/>
          <w:bCs/>
          <w:sz w:val="24"/>
          <w:szCs w:val="24"/>
        </w:rPr>
        <w:tab/>
        <w:t>Ilekroć w zasadach (polityce) rachunkowości jest mowa o:</w:t>
      </w: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40790E1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późn. zm);</w:t>
      </w:r>
    </w:p>
    <w:p w14:paraId="5B207C7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2019 r., poz. 351 z późn. zm.);</w:t>
      </w:r>
    </w:p>
    <w:p w14:paraId="0851373B" w14:textId="359EA5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2019 r., poz. 869, z </w:t>
      </w:r>
      <w:r w:rsidRPr="009B5E24">
        <w:rPr>
          <w:rFonts w:ascii="Times New Roman" w:hAnsi="Times New Roman" w:cs="Times New Roman"/>
          <w:sz w:val="24"/>
          <w:szCs w:val="24"/>
        </w:rPr>
        <w:t>późn.zm.);</w:t>
      </w:r>
    </w:p>
    <w:p w14:paraId="4190F072" w14:textId="77777777" w:rsidR="00A60692" w:rsidRDefault="009B5E24" w:rsidP="00A60692">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w.n.p  – należy przez to rozumieć  wartości niematerialne i prawne;</w:t>
      </w:r>
    </w:p>
    <w:p w14:paraId="122A8B0B" w14:textId="77777777" w:rsidR="00A60692" w:rsidRPr="00A60692" w:rsidRDefault="009B5E24" w:rsidP="00A60692">
      <w:pPr>
        <w:pStyle w:val="Akapitzlist"/>
        <w:numPr>
          <w:ilvl w:val="0"/>
          <w:numId w:val="1"/>
        </w:numPr>
        <w:spacing w:line="276" w:lineRule="auto"/>
        <w:jc w:val="both"/>
        <w:rPr>
          <w:rFonts w:ascii="Times New Roman" w:hAnsi="Times New Roman" w:cs="Times New Roman"/>
          <w:sz w:val="24"/>
          <w:szCs w:val="24"/>
        </w:rPr>
      </w:pPr>
      <w:r w:rsidRPr="00A60692">
        <w:rPr>
          <w:rFonts w:ascii="Times New Roman" w:hAnsi="Times New Roman" w:cs="Times New Roman"/>
          <w:sz w:val="24"/>
          <w:szCs w:val="24"/>
        </w:rPr>
        <w:t xml:space="preserve">jednostce – należy przez to rozumieć </w:t>
      </w:r>
      <w:r w:rsidR="00A60692">
        <w:rPr>
          <w:rFonts w:ascii="Times New Roman" w:hAnsi="Times New Roman" w:cs="Times New Roman"/>
          <w:b/>
          <w:sz w:val="24"/>
          <w:szCs w:val="24"/>
        </w:rPr>
        <w:t>Szkołę Podstawową</w:t>
      </w:r>
      <w:r w:rsidR="00A60692" w:rsidRPr="00A60692">
        <w:rPr>
          <w:rFonts w:ascii="Times New Roman" w:hAnsi="Times New Roman" w:cs="Times New Roman"/>
          <w:b/>
          <w:sz w:val="24"/>
          <w:szCs w:val="24"/>
        </w:rPr>
        <w:t xml:space="preserve"> nr 16 i,. Jana Pawła II,</w:t>
      </w:r>
    </w:p>
    <w:p w14:paraId="005E1196" w14:textId="0524EB6F" w:rsidR="00960F21" w:rsidRPr="00A60692" w:rsidRDefault="00A60692" w:rsidP="00A60692">
      <w:pPr>
        <w:pStyle w:val="Akapitzlist"/>
        <w:spacing w:line="276" w:lineRule="auto"/>
        <w:jc w:val="both"/>
        <w:rPr>
          <w:rFonts w:ascii="Times New Roman" w:hAnsi="Times New Roman" w:cs="Times New Roman"/>
          <w:sz w:val="24"/>
          <w:szCs w:val="24"/>
        </w:rPr>
      </w:pPr>
      <w:r w:rsidRPr="00A60692">
        <w:rPr>
          <w:rFonts w:ascii="Times New Roman" w:hAnsi="Times New Roman" w:cs="Times New Roman"/>
          <w:b/>
          <w:sz w:val="24"/>
          <w:szCs w:val="24"/>
        </w:rPr>
        <w:t xml:space="preserve"> ul. Zygmunta Kurka 16, 88-100 Inowrocław</w:t>
      </w:r>
    </w:p>
    <w:p w14:paraId="4FDB32A2" w14:textId="2768F3CF" w:rsidR="009B5E24" w:rsidRPr="00960F21" w:rsidRDefault="009B5E24" w:rsidP="00695298">
      <w:pPr>
        <w:pStyle w:val="Akapitzlist"/>
        <w:numPr>
          <w:ilvl w:val="0"/>
          <w:numId w:val="1"/>
        </w:numPr>
        <w:spacing w:line="276" w:lineRule="auto"/>
        <w:jc w:val="both"/>
        <w:rPr>
          <w:rFonts w:ascii="Times New Roman" w:hAnsi="Times New Roman" w:cs="Times New Roman"/>
          <w:sz w:val="24"/>
          <w:szCs w:val="24"/>
        </w:rPr>
      </w:pPr>
      <w:r w:rsidRPr="00960F21">
        <w:rPr>
          <w:rFonts w:ascii="Times New Roman" w:hAnsi="Times New Roman" w:cs="Times New Roman"/>
          <w:sz w:val="24"/>
          <w:szCs w:val="24"/>
        </w:rPr>
        <w:t>MZEAS – należy przez to rozumieć  Miejski Zespół Ekonomiczno-Administracyjny Szkół z siedzibą przy ul. Kiełbasiewicza 7 w Inowrocławiu;</w:t>
      </w:r>
    </w:p>
    <w:p w14:paraId="7867EDF3" w14:textId="6B2A466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7F1DE403"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4.</w:t>
      </w:r>
      <w:r w:rsidRPr="009B5E24">
        <w:rPr>
          <w:rFonts w:ascii="Times New Roman" w:hAnsi="Times New Roman" w:cs="Times New Roman"/>
          <w:b/>
          <w:bCs/>
          <w:sz w:val="24"/>
          <w:szCs w:val="24"/>
        </w:rPr>
        <w:tab/>
        <w:t>Ogólne zasady prowadzenia ksiąg.</w:t>
      </w: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jednostki prowadzone są przez Miejski Zespół Ekonomiczno-Administracyjny Szkół w Inowrocławiu przy ul. Kiełbasiewicza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106AACD1"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390C4077" w:rsidR="009B5E24" w:rsidRP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265B215A" w:rsidR="009B5E24" w:rsidRP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VAT</w:t>
      </w:r>
      <w:r w:rsidR="0003339C">
        <w:rPr>
          <w:rFonts w:ascii="Times New Roman" w:hAnsi="Times New Roman" w:cs="Times New Roman"/>
          <w:sz w:val="24"/>
          <w:szCs w:val="24"/>
        </w:rPr>
        <w:t xml:space="preserve">, od 01.10.2020r. </w:t>
      </w:r>
      <w:r w:rsidR="00144956">
        <w:rPr>
          <w:rFonts w:ascii="Times New Roman" w:hAnsi="Times New Roman" w:cs="Times New Roman"/>
          <w:sz w:val="24"/>
          <w:szCs w:val="24"/>
        </w:rPr>
        <w:t xml:space="preserve">Plik </w:t>
      </w:r>
      <w:r w:rsidR="0003339C">
        <w:rPr>
          <w:rFonts w:ascii="Times New Roman" w:hAnsi="Times New Roman" w:cs="Times New Roman"/>
          <w:sz w:val="24"/>
          <w:szCs w:val="24"/>
        </w:rPr>
        <w:t>JPK</w:t>
      </w:r>
      <w:r w:rsidR="00144956">
        <w:rPr>
          <w:rFonts w:ascii="Times New Roman" w:hAnsi="Times New Roman" w:cs="Times New Roman"/>
          <w:sz w:val="24"/>
          <w:szCs w:val="24"/>
        </w:rPr>
        <w:t>_</w:t>
      </w:r>
      <w:r w:rsidR="0003339C">
        <w:rPr>
          <w:rFonts w:ascii="Times New Roman" w:hAnsi="Times New Roman" w:cs="Times New Roman"/>
          <w:sz w:val="24"/>
          <w:szCs w:val="24"/>
        </w:rPr>
        <w:t>V7M</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711B0B70"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budżetowe na podstawie przepisów rozporządzenia Ministra Rozwoju i Finansów z 9 stycznia 2018 r. w sprawie sprawozdawczości budżetowej  (t.j. Dz. U. z 20</w:t>
      </w:r>
      <w:r w:rsidR="00E73FB2">
        <w:rPr>
          <w:rFonts w:ascii="Times New Roman" w:hAnsi="Times New Roman" w:cs="Times New Roman"/>
          <w:sz w:val="24"/>
          <w:szCs w:val="24"/>
        </w:rPr>
        <w:t>20</w:t>
      </w:r>
      <w:r w:rsidRPr="009B5E24">
        <w:rPr>
          <w:rFonts w:ascii="Times New Roman" w:hAnsi="Times New Roman" w:cs="Times New Roman"/>
          <w:sz w:val="24"/>
          <w:szCs w:val="24"/>
        </w:rPr>
        <w:t xml:space="preserve"> r., poz. 1</w:t>
      </w:r>
      <w:r w:rsidR="00E73FB2">
        <w:rPr>
          <w:rFonts w:ascii="Times New Roman" w:hAnsi="Times New Roman" w:cs="Times New Roman"/>
          <w:sz w:val="24"/>
          <w:szCs w:val="24"/>
        </w:rPr>
        <w:t>564</w:t>
      </w:r>
      <w:r w:rsidRPr="009B5E24">
        <w:rPr>
          <w:rFonts w:ascii="Times New Roman" w:hAnsi="Times New Roman" w:cs="Times New Roman"/>
          <w:sz w:val="24"/>
          <w:szCs w:val="24"/>
        </w:rPr>
        <w:t xml:space="preserve"> z późn. zm.) oraz na podstawie rozporządzenia Ministra Finansów z 4 marca 2010 r. w sprawie </w:t>
      </w:r>
      <w:r w:rsidRPr="009B5E24">
        <w:rPr>
          <w:rFonts w:ascii="Times New Roman" w:hAnsi="Times New Roman" w:cs="Times New Roman"/>
          <w:sz w:val="24"/>
          <w:szCs w:val="24"/>
        </w:rPr>
        <w:lastRenderedPageBreak/>
        <w:t>sprawozdań jednostek sektora finansów publicznych w zakresie operacji finansowych (t.j. Dz. U. z 2014 r. poz. 1773):</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62D7D5FE"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 xml:space="preserve">Rb-27S, Rb-28S,Rb-Z, </w:t>
      </w:r>
      <w:r w:rsidRPr="009B5E24">
        <w:rPr>
          <w:rFonts w:ascii="Times New Roman" w:hAnsi="Times New Roman" w:cs="Times New Roman"/>
          <w:sz w:val="24"/>
          <w:szCs w:val="24"/>
        </w:rPr>
        <w:t>Rb-N, Rb-ZN, Rb-34S, Rb-50;</w:t>
      </w:r>
    </w:p>
    <w:p w14:paraId="2D663160" w14:textId="403D8AD0"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 xml:space="preserve">Rb-ZN </w:t>
      </w:r>
      <w:r>
        <w:rPr>
          <w:rFonts w:ascii="Times New Roman" w:hAnsi="Times New Roman" w:cs="Times New Roman"/>
          <w:sz w:val="24"/>
          <w:szCs w:val="24"/>
        </w:rPr>
        <w:t>, Rb -34S, Rb-50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6782FB74" w:rsidR="009B5E24" w:rsidRPr="005E623D" w:rsidRDefault="009B5E24" w:rsidP="00BD0DA5">
      <w:pPr>
        <w:spacing w:line="276" w:lineRule="auto"/>
        <w:jc w:val="both"/>
        <w:rPr>
          <w:rFonts w:ascii="Times New Roman" w:hAnsi="Times New Roman" w:cs="Times New Roman"/>
          <w:b/>
          <w:bCs/>
          <w:sz w:val="24"/>
          <w:szCs w:val="24"/>
        </w:rPr>
      </w:pPr>
      <w:r w:rsidRPr="005E623D">
        <w:rPr>
          <w:rFonts w:ascii="Times New Roman" w:hAnsi="Times New Roman" w:cs="Times New Roman"/>
          <w:b/>
          <w:bCs/>
          <w:sz w:val="24"/>
          <w:szCs w:val="24"/>
        </w:rPr>
        <w:t>5.</w:t>
      </w:r>
      <w:r w:rsidRPr="005E623D">
        <w:rPr>
          <w:rFonts w:ascii="Times New Roman" w:hAnsi="Times New Roman" w:cs="Times New Roman"/>
          <w:b/>
          <w:bCs/>
          <w:sz w:val="24"/>
          <w:szCs w:val="24"/>
        </w:rPr>
        <w:tab/>
        <w:t>W jednostce wg stanu na dzień 31 grudnia danego roku sporządza się roczne</w:t>
      </w:r>
      <w:r w:rsidR="005E623D">
        <w:rPr>
          <w:rFonts w:ascii="Times New Roman" w:hAnsi="Times New Roman" w:cs="Times New Roman"/>
          <w:sz w:val="24"/>
          <w:szCs w:val="24"/>
        </w:rPr>
        <w:t xml:space="preserve"> </w:t>
      </w:r>
      <w:r w:rsidRPr="005E623D">
        <w:rPr>
          <w:rFonts w:ascii="Times New Roman" w:hAnsi="Times New Roman" w:cs="Times New Roman"/>
          <w:b/>
          <w:bCs/>
          <w:sz w:val="24"/>
          <w:szCs w:val="24"/>
        </w:rPr>
        <w:t>sprawozdanie finansowe obejmujące:</w:t>
      </w: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77777777" w:rsidR="009B5E24" w:rsidRPr="005E623D" w:rsidRDefault="009B5E24" w:rsidP="00BD0DA5">
      <w:pPr>
        <w:spacing w:line="276" w:lineRule="auto"/>
        <w:jc w:val="both"/>
        <w:rPr>
          <w:rFonts w:ascii="Times New Roman" w:hAnsi="Times New Roman" w:cs="Times New Roman"/>
          <w:b/>
          <w:bCs/>
          <w:sz w:val="24"/>
          <w:szCs w:val="24"/>
        </w:rPr>
      </w:pPr>
      <w:r w:rsidRPr="005E623D">
        <w:rPr>
          <w:rFonts w:ascii="Times New Roman" w:hAnsi="Times New Roman" w:cs="Times New Roman"/>
          <w:b/>
          <w:bCs/>
          <w:sz w:val="24"/>
          <w:szCs w:val="24"/>
        </w:rPr>
        <w:t>6.</w:t>
      </w:r>
      <w:r w:rsidRPr="005E623D">
        <w:rPr>
          <w:rFonts w:ascii="Times New Roman" w:hAnsi="Times New Roman" w:cs="Times New Roman"/>
          <w:b/>
          <w:bCs/>
          <w:sz w:val="24"/>
          <w:szCs w:val="24"/>
        </w:rPr>
        <w:tab/>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631393E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2014 r., poz. 1053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sięgi rachunkowe prowadzone są w programie komputerowym Finanse firmy Vulcan z zachowaniem systematyczności, chronologii i ciągłości zapisów oraz przenoszenia obrotów i sald</w:t>
      </w:r>
      <w:r>
        <w:rPr>
          <w:rFonts w:ascii="Times New Roman" w:hAnsi="Times New Roman" w:cs="Times New Roman"/>
          <w:sz w:val="24"/>
          <w:szCs w:val="24"/>
        </w:rPr>
        <w:t>;</w:t>
      </w:r>
    </w:p>
    <w:p w14:paraId="19915D49" w14:textId="69951797"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sięgi rachunkowe otwiera się na początek każdego roku obrotowego, tj. na 1 stycznia, a zamyka na dzień kończący rok obrotowy, tj. na 31 grudnia, przy czym ostateczne zamknięcie i otwarcie powinno nastąpić do dnia 30 kwietnia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naliczenia i ewidencji wynagrodzeń, podatku dochodowego od osób fizycznych oraz składek na ubezpieczenie społeczne służy program komputerowy Płace firmy Vulcan.</w:t>
      </w:r>
    </w:p>
    <w:p w14:paraId="1D37643E" w14:textId="550C6E6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 xml:space="preserve">widencja budżetu odbywa się w systemie Finanse Vulcan i na platformie Sigma Optivum firmy Vulcan oraz za pomocą informatycznego systemu zarządzania budżetami jednostek samorządu terytorialnego „BeSTi@” nadzorowanego przez </w:t>
      </w:r>
      <w:r w:rsidR="009B5E24" w:rsidRPr="009B5E24">
        <w:rPr>
          <w:rFonts w:ascii="Times New Roman" w:hAnsi="Times New Roman" w:cs="Times New Roman"/>
          <w:sz w:val="24"/>
          <w:szCs w:val="24"/>
        </w:rPr>
        <w:lastRenderedPageBreak/>
        <w:t>Ministerstwo Finansów. Sprawozdania jednostkowe z wykonania budżetu sporządzane są w systemie Finanse Vulcan i następnie eksportowane na platformę Sigma Optivum i</w:t>
      </w:r>
      <w:r>
        <w:rPr>
          <w:rFonts w:ascii="Times New Roman" w:hAnsi="Times New Roman" w:cs="Times New Roman"/>
          <w:sz w:val="24"/>
          <w:szCs w:val="24"/>
        </w:rPr>
        <w:t> </w:t>
      </w:r>
      <w:r w:rsidR="009B5E24" w:rsidRPr="009B5E24">
        <w:rPr>
          <w:rFonts w:ascii="Times New Roman" w:hAnsi="Times New Roman" w:cs="Times New Roman"/>
          <w:sz w:val="24"/>
          <w:szCs w:val="24"/>
        </w:rPr>
        <w:t>do systemu „BeSTi@” i za pomocą tego systemu przekazywane są drogą elektroniczną do Urzędu Miasta Inowrocławia</w:t>
      </w:r>
      <w:r>
        <w:rPr>
          <w:rFonts w:ascii="Times New Roman" w:hAnsi="Times New Roman" w:cs="Times New Roman"/>
          <w:sz w:val="24"/>
          <w:szCs w:val="24"/>
        </w:rPr>
        <w:t>;</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Pr="00144956"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09E884D3" w14:textId="70086872"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w którym je wystawiono, są ujmowane w księgach rachunkowych miesiąca dostarczenia. Faktury dotyczące żywienia ujmowane są w miesiącu którego dotyczą</w:t>
      </w:r>
      <w:r>
        <w:rPr>
          <w:rFonts w:ascii="Times New Roman" w:hAnsi="Times New Roman" w:cs="Times New Roman"/>
          <w:sz w:val="24"/>
          <w:szCs w:val="24"/>
        </w:rPr>
        <w:t>;</w:t>
      </w:r>
    </w:p>
    <w:p w14:paraId="383C3A84" w14:textId="763A647E"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dostarcza do Urzędu Miasta Inowrocławia sprawozdania miesięczne w</w:t>
      </w:r>
      <w:r w:rsidR="005E623D">
        <w:rPr>
          <w:rFonts w:ascii="Times New Roman" w:hAnsi="Times New Roman" w:cs="Times New Roman"/>
          <w:sz w:val="24"/>
          <w:szCs w:val="24"/>
        </w:rPr>
        <w:t> </w:t>
      </w:r>
      <w:r w:rsidRPr="009B5E24">
        <w:rPr>
          <w:rFonts w:ascii="Times New Roman" w:hAnsi="Times New Roman" w:cs="Times New Roman"/>
          <w:sz w:val="24"/>
          <w:szCs w:val="24"/>
        </w:rPr>
        <w:t>terminie do 8 dnia następnego miesiąca a osiągnięte dochody budżetowe odprowadza do budżetu do 5 dnia kalendarzowego następnego miesiąca</w:t>
      </w:r>
      <w:r w:rsidR="005E623D">
        <w:rPr>
          <w:rFonts w:ascii="Times New Roman" w:hAnsi="Times New Roman" w:cs="Times New Roman"/>
          <w:sz w:val="24"/>
          <w:szCs w:val="24"/>
        </w:rPr>
        <w:t>;</w:t>
      </w:r>
    </w:p>
    <w:p w14:paraId="799DA5B4" w14:textId="63A4E272"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ujmowane są wszystkie dowody księgowe obciążające dany rok budżetowy dostarczone w terminie do 20 stycznia roku następującego po roku budżetowym</w:t>
      </w:r>
      <w:r>
        <w:rPr>
          <w:rFonts w:ascii="Times New Roman" w:hAnsi="Times New Roman" w:cs="Times New Roman"/>
          <w:sz w:val="24"/>
          <w:szCs w:val="24"/>
        </w:rPr>
        <w:t>;</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onta pozabilansowe pełnią funkcję informacyjno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7C7830C8"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6BAE69F6" w14:textId="78752590"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1D24002D" w14:textId="77777777" w:rsidR="009B5E24" w:rsidRPr="009B5E24" w:rsidRDefault="009B5E24" w:rsidP="00BD0DA5">
      <w:pPr>
        <w:spacing w:line="276" w:lineRule="auto"/>
        <w:jc w:val="both"/>
        <w:rPr>
          <w:rFonts w:ascii="Times New Roman" w:hAnsi="Times New Roman" w:cs="Times New Roman"/>
          <w:sz w:val="24"/>
          <w:szCs w:val="24"/>
        </w:rPr>
      </w:pPr>
    </w:p>
    <w:p w14:paraId="092770EE" w14:textId="77777777" w:rsidR="009B5E24" w:rsidRPr="00EA4DB4" w:rsidRDefault="009B5E24" w:rsidP="00BD0DA5">
      <w:pPr>
        <w:spacing w:line="276" w:lineRule="auto"/>
        <w:jc w:val="both"/>
        <w:rPr>
          <w:rFonts w:ascii="Times New Roman" w:hAnsi="Times New Roman" w:cs="Times New Roman"/>
          <w:b/>
          <w:bCs/>
          <w:sz w:val="24"/>
          <w:szCs w:val="24"/>
        </w:rPr>
      </w:pPr>
      <w:r w:rsidRPr="00EA4DB4">
        <w:rPr>
          <w:rFonts w:ascii="Times New Roman" w:hAnsi="Times New Roman" w:cs="Times New Roman"/>
          <w:b/>
          <w:bCs/>
          <w:sz w:val="24"/>
          <w:szCs w:val="24"/>
        </w:rPr>
        <w:t>7.</w:t>
      </w:r>
      <w:r w:rsidRPr="00EA4DB4">
        <w:rPr>
          <w:rFonts w:ascii="Times New Roman" w:hAnsi="Times New Roman" w:cs="Times New Roman"/>
          <w:b/>
          <w:bCs/>
          <w:sz w:val="24"/>
          <w:szCs w:val="24"/>
        </w:rPr>
        <w:tab/>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w:t>
      </w:r>
      <w:r w:rsidRPr="009B5E24">
        <w:rPr>
          <w:rFonts w:ascii="Times New Roman" w:hAnsi="Times New Roman" w:cs="Times New Roman"/>
          <w:sz w:val="24"/>
          <w:szCs w:val="24"/>
        </w:rPr>
        <w:lastRenderedPageBreak/>
        <w:t>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w.n.p. podlegają ewidencji:  </w:t>
      </w:r>
    </w:p>
    <w:p w14:paraId="72E39C8C" w14:textId="17239254"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22BEF741" w14:textId="03C3625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materiały ewidencjonowane są wartościowo, natomiast osoba odpowiedzialna za magazyn prowadzi ewidencję ilościowo-wartościową;</w:t>
      </w:r>
    </w:p>
    <w:p w14:paraId="132039CE" w14:textId="2517929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„materiały” prowadzone jest w sposób uproszczony, ujmując salda na dzień bilansowy;</w:t>
      </w:r>
    </w:p>
    <w:p w14:paraId="5656485C" w14:textId="05BBF00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 ochrony, nienależnie pobranych świadczeń, 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4722D7E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EC26528" w14:textId="77777777" w:rsidR="009B5E24" w:rsidRPr="00E11B7C" w:rsidRDefault="009B5E24" w:rsidP="00BD0DA5">
      <w:pPr>
        <w:spacing w:line="276" w:lineRule="auto"/>
        <w:jc w:val="both"/>
        <w:rPr>
          <w:rFonts w:ascii="Times New Roman" w:hAnsi="Times New Roman" w:cs="Times New Roman"/>
          <w:b/>
          <w:bCs/>
          <w:sz w:val="24"/>
          <w:szCs w:val="24"/>
        </w:rPr>
      </w:pPr>
      <w:r w:rsidRPr="00E11B7C">
        <w:rPr>
          <w:rFonts w:ascii="Times New Roman" w:hAnsi="Times New Roman" w:cs="Times New Roman"/>
          <w:b/>
          <w:bCs/>
          <w:sz w:val="24"/>
          <w:szCs w:val="24"/>
        </w:rPr>
        <w:t>8.</w:t>
      </w:r>
      <w:r w:rsidRPr="00E11B7C">
        <w:rPr>
          <w:rFonts w:ascii="Times New Roman" w:hAnsi="Times New Roman" w:cs="Times New Roman"/>
          <w:b/>
          <w:bCs/>
          <w:sz w:val="24"/>
          <w:szCs w:val="24"/>
        </w:rPr>
        <w:tab/>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1C0742B0"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prawozdania należy sporządzać w sposób czytelny i trwały. Podpisy na sprawozdaniach składa się odręcznie na każdym formularzu w miejscu oznaczonym. </w:t>
      </w:r>
      <w:r w:rsidR="009B5E24" w:rsidRPr="009B5E24">
        <w:rPr>
          <w:rFonts w:ascii="Times New Roman" w:hAnsi="Times New Roman" w:cs="Times New Roman"/>
          <w:sz w:val="24"/>
          <w:szCs w:val="24"/>
        </w:rPr>
        <w:lastRenderedPageBreak/>
        <w:t>Pod podpisem umieszcza się pieczątkę z imieniem i nazwiskiem osoby sporządzającej i podpisującej</w:t>
      </w:r>
      <w:r>
        <w:rPr>
          <w:rFonts w:ascii="Times New Roman" w:hAnsi="Times New Roman" w:cs="Times New Roman"/>
          <w:sz w:val="24"/>
          <w:szCs w:val="24"/>
        </w:rPr>
        <w:t>;</w:t>
      </w:r>
    </w:p>
    <w:p w14:paraId="630BD564" w14:textId="28FD5249"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 oraz pracownik MZEAS jako osoba sporządzająca</w:t>
      </w:r>
      <w:r>
        <w:rPr>
          <w:rFonts w:ascii="Times New Roman" w:hAnsi="Times New Roman" w:cs="Times New Roman"/>
          <w:sz w:val="24"/>
          <w:szCs w:val="24"/>
        </w:rPr>
        <w:t>;</w:t>
      </w:r>
    </w:p>
    <w:p w14:paraId="580658BC" w14:textId="50011C39"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formalno - rachunkowym  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77777777" w:rsidR="009B5E24" w:rsidRPr="003B1E11" w:rsidRDefault="009B5E24" w:rsidP="00BD0DA5">
      <w:pPr>
        <w:spacing w:line="276" w:lineRule="auto"/>
        <w:jc w:val="both"/>
        <w:rPr>
          <w:rFonts w:ascii="Times New Roman" w:hAnsi="Times New Roman" w:cs="Times New Roman"/>
          <w:b/>
          <w:bCs/>
          <w:sz w:val="24"/>
          <w:szCs w:val="24"/>
        </w:rPr>
      </w:pPr>
      <w:r w:rsidRPr="003B1E11">
        <w:rPr>
          <w:rFonts w:ascii="Times New Roman" w:hAnsi="Times New Roman" w:cs="Times New Roman"/>
          <w:b/>
          <w:bCs/>
          <w:sz w:val="24"/>
          <w:szCs w:val="24"/>
        </w:rPr>
        <w:t>9.</w:t>
      </w:r>
      <w:r w:rsidRPr="003B1E11">
        <w:rPr>
          <w:rFonts w:ascii="Times New Roman" w:hAnsi="Times New Roman" w:cs="Times New Roman"/>
          <w:b/>
          <w:bCs/>
          <w:sz w:val="24"/>
          <w:szCs w:val="24"/>
        </w:rPr>
        <w:tab/>
        <w:t>Okres przechowywania dokumentacji</w:t>
      </w:r>
    </w:p>
    <w:p w14:paraId="19F28B1E" w14:textId="17F1789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roczne sprawozdanie finansowe  - 5 lat</w:t>
      </w:r>
      <w:r w:rsidR="003B1E11">
        <w:rPr>
          <w:rFonts w:ascii="Times New Roman" w:hAnsi="Times New Roman" w:cs="Times New Roman"/>
          <w:sz w:val="24"/>
          <w:szCs w:val="24"/>
        </w:rPr>
        <w: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4F49BAC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4CAA9BC7" w14:textId="7E726E5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77777777" w:rsidR="009B5E24" w:rsidRPr="002B6461" w:rsidRDefault="009B5E24" w:rsidP="00BD0DA5">
      <w:pPr>
        <w:spacing w:line="276" w:lineRule="auto"/>
        <w:jc w:val="both"/>
        <w:rPr>
          <w:rFonts w:ascii="Times New Roman" w:hAnsi="Times New Roman" w:cs="Times New Roman"/>
          <w:b/>
          <w:bCs/>
          <w:sz w:val="24"/>
          <w:szCs w:val="24"/>
        </w:rPr>
      </w:pPr>
      <w:r w:rsidRPr="002B6461">
        <w:rPr>
          <w:rFonts w:ascii="Times New Roman" w:hAnsi="Times New Roman" w:cs="Times New Roman"/>
          <w:b/>
          <w:bCs/>
          <w:sz w:val="24"/>
          <w:szCs w:val="24"/>
        </w:rPr>
        <w:t>10.</w:t>
      </w:r>
      <w:r w:rsidRPr="002B6461">
        <w:rPr>
          <w:rFonts w:ascii="Times New Roman" w:hAnsi="Times New Roman" w:cs="Times New Roman"/>
          <w:b/>
          <w:bCs/>
          <w:sz w:val="24"/>
          <w:szCs w:val="24"/>
        </w:rPr>
        <w:tab/>
        <w:t>Wycena aktywów i pasywów.</w:t>
      </w:r>
    </w:p>
    <w:p w14:paraId="2269A9B9" w14:textId="77777777" w:rsidR="009B5E24" w:rsidRPr="009B5E24" w:rsidRDefault="009B5E24" w:rsidP="00BD0DA5">
      <w:pPr>
        <w:spacing w:line="276" w:lineRule="auto"/>
        <w:jc w:val="both"/>
        <w:rPr>
          <w:rFonts w:ascii="Times New Roman" w:hAnsi="Times New Roman" w:cs="Times New Roman"/>
          <w:sz w:val="24"/>
          <w:szCs w:val="24"/>
        </w:rPr>
      </w:pPr>
    </w:p>
    <w:p w14:paraId="4AA0F187" w14:textId="61BFA294" w:rsidR="009B5E24" w:rsidRPr="00CB2EBF" w:rsidRDefault="002B6461" w:rsidP="00BD0DA5">
      <w:pPr>
        <w:pStyle w:val="Akapitzlist"/>
        <w:numPr>
          <w:ilvl w:val="0"/>
          <w:numId w:val="14"/>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w</w:t>
      </w:r>
      <w:r w:rsidR="009B5E24" w:rsidRPr="00CB2EBF">
        <w:rPr>
          <w:rFonts w:ascii="Times New Roman" w:hAnsi="Times New Roman" w:cs="Times New Roman"/>
          <w:sz w:val="24"/>
          <w:szCs w:val="24"/>
        </w:rPr>
        <w:t>artości niematerialne i prawne –  nabyte z własnych środków ewidencjonuje się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cenie nabycia, otrzymane nieodpłatnie na podstawie decyzji właściwego organu –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wysokości określonej w tej decyzji, otrzymane jako darowizna – w wartości rynkowej na dzień nabycia. W.n.p.</w:t>
      </w:r>
      <w:r w:rsidRPr="00CB2EBF">
        <w:rPr>
          <w:rFonts w:ascii="Times New Roman" w:hAnsi="Times New Roman" w:cs="Times New Roman"/>
          <w:sz w:val="24"/>
          <w:szCs w:val="24"/>
        </w:rPr>
        <w:t xml:space="preserve"> </w:t>
      </w:r>
      <w:r w:rsidR="009B5E24" w:rsidRPr="00CB2EBF">
        <w:rPr>
          <w:rFonts w:ascii="Times New Roman" w:hAnsi="Times New Roman" w:cs="Times New Roman"/>
          <w:sz w:val="24"/>
          <w:szCs w:val="24"/>
        </w:rPr>
        <w:t>o wartości początkowej, przekraczającej kwotę określoną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ustawie z dnia 15 lutego 1992 r. (t.j. Dz. U.</w:t>
      </w:r>
      <w:r w:rsidR="00F64B6A">
        <w:rPr>
          <w:rFonts w:ascii="Times New Roman" w:hAnsi="Times New Roman" w:cs="Times New Roman"/>
          <w:sz w:val="24"/>
          <w:szCs w:val="24"/>
        </w:rPr>
        <w:t xml:space="preserve"> z 2019 r., poz. 865, ze zm.) o </w:t>
      </w:r>
      <w:r w:rsidR="009B5E24" w:rsidRPr="00CB2EBF">
        <w:rPr>
          <w:rFonts w:ascii="Times New Roman" w:hAnsi="Times New Roman" w:cs="Times New Roman"/>
          <w:sz w:val="24"/>
          <w:szCs w:val="24"/>
        </w:rPr>
        <w:t xml:space="preserve">podatku dochodowym od osób prawnych (z wyjątkiem pomocy dydaktycznych) </w:t>
      </w:r>
      <w:r w:rsidR="009B5E24" w:rsidRPr="00CB2EBF">
        <w:rPr>
          <w:rFonts w:ascii="Times New Roman" w:hAnsi="Times New Roman" w:cs="Times New Roman"/>
          <w:sz w:val="24"/>
          <w:szCs w:val="24"/>
        </w:rPr>
        <w:lastRenderedPageBreak/>
        <w:t xml:space="preserve">podlegają sfinansowaniu środkami na inwestycje i są umarzane stopniowo według rocznych stawek amortyzacyjnych określonych w załączniku nr 1 do ww. ustawy. </w:t>
      </w:r>
    </w:p>
    <w:p w14:paraId="1B5EA149" w14:textId="4A895800" w:rsidR="009B5E24" w:rsidRPr="009B5E24" w:rsidRDefault="002B6461"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r</w:t>
      </w:r>
      <w:r w:rsidR="009B5E24" w:rsidRPr="009B5E24">
        <w:rPr>
          <w:rFonts w:ascii="Times New Roman" w:hAnsi="Times New Roman" w:cs="Times New Roman"/>
          <w:sz w:val="24"/>
          <w:szCs w:val="24"/>
        </w:rPr>
        <w:t>zeczowe aktywa trwałe – obejmują:</w:t>
      </w:r>
    </w:p>
    <w:p w14:paraId="185E2DD0" w14:textId="05448DD5"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podstawowe środki trwałe;</w:t>
      </w:r>
    </w:p>
    <w:p w14:paraId="70103231" w14:textId="0E777F11"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środki trwałe;</w:t>
      </w:r>
    </w:p>
    <w:p w14:paraId="38627365" w14:textId="09320BBF"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zbiory biblioteczne;</w:t>
      </w:r>
    </w:p>
    <w:p w14:paraId="33F1AB41" w14:textId="7DB49B33"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w budowie (inwestycje);</w:t>
      </w:r>
    </w:p>
    <w:p w14:paraId="5943B3FA" w14:textId="2FF541FD"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172ACB90" w14:textId="1166F31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to składniki aktywów o przewidywanym okresie ekonomicznej użyteczności dłuższym niż rok, kompletne, zdatne do użytku i przeznaczone na potrzeby jednostki oraz środki trwałe stanowiące własność jednostki, bądź otrzymane w zarząd lub użytkowanie,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uprawnienie właścicielskie. Obejmują one w</w:t>
      </w:r>
      <w:r w:rsidR="002B6461">
        <w:rPr>
          <w:rFonts w:ascii="Times New Roman" w:hAnsi="Times New Roman" w:cs="Times New Roman"/>
          <w:sz w:val="24"/>
          <w:szCs w:val="24"/>
        </w:rPr>
        <w:t> </w:t>
      </w:r>
      <w:r w:rsidRPr="009B5E24">
        <w:rPr>
          <w:rFonts w:ascii="Times New Roman" w:hAnsi="Times New Roman" w:cs="Times New Roman"/>
          <w:sz w:val="24"/>
          <w:szCs w:val="24"/>
        </w:rPr>
        <w:t>szczególności:</w:t>
      </w:r>
    </w:p>
    <w:p w14:paraId="5FD0152C" w14:textId="1C6E60F1"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73DD72BC" w14:textId="1252A450" w:rsidR="009B5E24" w:rsidRPr="009B5E24"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zakupu – według ceny nabycia, na którą składa się cena zakupu powiększona o koszty zakupu w tym koszty transportu, załadunku i</w:t>
      </w:r>
      <w:r w:rsidR="00BD0DA5">
        <w:rPr>
          <w:rFonts w:ascii="Times New Roman" w:hAnsi="Times New Roman" w:cs="Times New Roman"/>
          <w:sz w:val="24"/>
          <w:szCs w:val="24"/>
        </w:rPr>
        <w:t> </w:t>
      </w:r>
      <w:r w:rsidRPr="009B5E24">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Pr>
          <w:rFonts w:ascii="Times New Roman" w:hAnsi="Times New Roman" w:cs="Times New Roman"/>
          <w:sz w:val="24"/>
          <w:szCs w:val="24"/>
        </w:rPr>
        <w:t> </w:t>
      </w:r>
      <w:r w:rsidRPr="009B5E24">
        <w:rPr>
          <w:rFonts w:ascii="Times New Roman" w:hAnsi="Times New Roman" w:cs="Times New Roman"/>
          <w:sz w:val="24"/>
          <w:szCs w:val="24"/>
        </w:rPr>
        <w:t>rabaty i upusty udzielane przez dostawcę.</w:t>
      </w:r>
    </w:p>
    <w:p w14:paraId="192CC3AE" w14:textId="1F227C4C"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darowizny – według wartości rynkowej z dnia nabycia</w:t>
      </w:r>
      <w:r w:rsidR="002B6461">
        <w:rPr>
          <w:rFonts w:ascii="Times New Roman" w:hAnsi="Times New Roman" w:cs="Times New Roman"/>
          <w:sz w:val="24"/>
          <w:szCs w:val="24"/>
        </w:rPr>
        <w:t xml:space="preserve"> </w:t>
      </w:r>
      <w:r w:rsidRPr="002B6461">
        <w:rPr>
          <w:rFonts w:ascii="Times New Roman" w:hAnsi="Times New Roman" w:cs="Times New Roman"/>
          <w:sz w:val="24"/>
          <w:szCs w:val="24"/>
        </w:rPr>
        <w:t>z</w:t>
      </w:r>
      <w:r w:rsidR="009117A2">
        <w:rPr>
          <w:rFonts w:ascii="Times New Roman" w:hAnsi="Times New Roman" w:cs="Times New Roman"/>
          <w:sz w:val="24"/>
          <w:szCs w:val="24"/>
        </w:rPr>
        <w:t> </w:t>
      </w:r>
      <w:r w:rsidRPr="002B6461">
        <w:rPr>
          <w:rFonts w:ascii="Times New Roman" w:hAnsi="Times New Roman" w:cs="Times New Roman"/>
          <w:sz w:val="24"/>
          <w:szCs w:val="24"/>
        </w:rPr>
        <w:t>uwzględnieniem stopnia dotychczasowego zużycia lub w wartości niższej określonej w umowie darowizny lub umowie o nieodpłatnym przekazaniu,</w:t>
      </w:r>
    </w:p>
    <w:p w14:paraId="0AA86D7A" w14:textId="2509F89D"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ujawnienia w drodze inwentaryzacji – według wartości wynikającej </w:t>
      </w:r>
      <w:r w:rsidRPr="002B6461">
        <w:rPr>
          <w:rFonts w:ascii="Times New Roman" w:hAnsi="Times New Roman" w:cs="Times New Roman"/>
          <w:sz w:val="24"/>
          <w:szCs w:val="24"/>
        </w:rPr>
        <w:t>z</w:t>
      </w:r>
      <w:r w:rsidR="002B6461">
        <w:rPr>
          <w:rFonts w:ascii="Times New Roman" w:hAnsi="Times New Roman" w:cs="Times New Roman"/>
          <w:sz w:val="24"/>
          <w:szCs w:val="24"/>
        </w:rPr>
        <w:t> </w:t>
      </w:r>
      <w:r w:rsidRPr="002B6461">
        <w:rPr>
          <w:rFonts w:ascii="Times New Roman" w:hAnsi="Times New Roman" w:cs="Times New Roman"/>
          <w:sz w:val="24"/>
          <w:szCs w:val="24"/>
        </w:rPr>
        <w:t>posiadanych dokumentów, a w przypadku ich braku według wyceny eksperta,</w:t>
      </w:r>
    </w:p>
    <w:p w14:paraId="1B4226CE" w14:textId="5EE85709"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nieodpłatnego otrzymania od innej jednostki budżetowej lub samorządowego zakładu budżetowego – według wartości określonej w</w:t>
      </w:r>
      <w:r w:rsidR="00BD0DA5">
        <w:rPr>
          <w:rFonts w:ascii="Times New Roman" w:hAnsi="Times New Roman" w:cs="Times New Roman"/>
          <w:sz w:val="24"/>
          <w:szCs w:val="24"/>
        </w:rPr>
        <w:t> </w:t>
      </w:r>
      <w:r w:rsidRPr="009B5E24">
        <w:rPr>
          <w:rFonts w:ascii="Times New Roman" w:hAnsi="Times New Roman" w:cs="Times New Roman"/>
          <w:sz w:val="24"/>
          <w:szCs w:val="24"/>
        </w:rPr>
        <w:t xml:space="preserve">dokumencie </w:t>
      </w:r>
      <w:r w:rsidRPr="002B6461">
        <w:rPr>
          <w:rFonts w:ascii="Times New Roman" w:hAnsi="Times New Roman" w:cs="Times New Roman"/>
          <w:sz w:val="24"/>
          <w:szCs w:val="24"/>
        </w:rPr>
        <w:t>o</w:t>
      </w:r>
      <w:r w:rsidR="002B6461">
        <w:rPr>
          <w:rFonts w:ascii="Times New Roman" w:hAnsi="Times New Roman" w:cs="Times New Roman"/>
          <w:sz w:val="24"/>
          <w:szCs w:val="24"/>
        </w:rPr>
        <w:t> </w:t>
      </w:r>
      <w:r w:rsidRPr="002B6461">
        <w:rPr>
          <w:rFonts w:ascii="Times New Roman" w:hAnsi="Times New Roman" w:cs="Times New Roman"/>
          <w:sz w:val="24"/>
          <w:szCs w:val="24"/>
        </w:rPr>
        <w:t xml:space="preserve">przekazaniu. Najczęściej stanowić ją będzie wartość </w:t>
      </w:r>
      <w:r w:rsidRPr="002B6461">
        <w:rPr>
          <w:rFonts w:ascii="Times New Roman" w:hAnsi="Times New Roman" w:cs="Times New Roman"/>
          <w:sz w:val="24"/>
          <w:szCs w:val="24"/>
        </w:rPr>
        <w:lastRenderedPageBreak/>
        <w:t>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4FC87B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 w przypadku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592B8EEC" w14:textId="77777777" w:rsidR="009B5E24" w:rsidRPr="009B5E24" w:rsidRDefault="009B5E24" w:rsidP="00BD0DA5">
      <w:pPr>
        <w:spacing w:line="276" w:lineRule="auto"/>
        <w:jc w:val="both"/>
        <w:rPr>
          <w:rFonts w:ascii="Times New Roman" w:hAnsi="Times New Roman" w:cs="Times New Roman"/>
          <w:sz w:val="24"/>
          <w:szCs w:val="24"/>
        </w:rPr>
      </w:pPr>
    </w:p>
    <w:p w14:paraId="7716D8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ewidencjonuje się w podziale na:</w:t>
      </w:r>
    </w:p>
    <w:p w14:paraId="427A1F52" w14:textId="781847F6"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podstawowe środki trwałe na koncie 011 „Środki trwałe”;</w:t>
      </w:r>
    </w:p>
    <w:p w14:paraId="62107683" w14:textId="122FCA4F"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pozostałe środki trwałe na koncie 013 „Pozostałe środki trwałe”;</w:t>
      </w:r>
    </w:p>
    <w:p w14:paraId="2C9F64BF" w14:textId="5D7A6802"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zbiory biblioteczne na koncie 014 „Zbiory biblioteczne”.</w:t>
      </w:r>
    </w:p>
    <w:p w14:paraId="79E8AF1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77777777" w:rsidR="009B5E24" w:rsidRPr="009B5E24" w:rsidRDefault="009B5E24" w:rsidP="00BD0DA5">
      <w:pPr>
        <w:spacing w:line="276" w:lineRule="auto"/>
        <w:jc w:val="both"/>
        <w:rPr>
          <w:rFonts w:ascii="Times New Roman" w:hAnsi="Times New Roman" w:cs="Times New Roman"/>
          <w:sz w:val="24"/>
          <w:szCs w:val="24"/>
        </w:rPr>
      </w:pPr>
    </w:p>
    <w:p w14:paraId="02D5395F" w14:textId="6B197BEC" w:rsidR="009B5E24" w:rsidRPr="002B6461" w:rsidRDefault="009B5E24" w:rsidP="00BD0DA5">
      <w:pPr>
        <w:pStyle w:val="Akapitzlist"/>
        <w:numPr>
          <w:ilvl w:val="0"/>
          <w:numId w:val="13"/>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 )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Umorzenie ujmowane jest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02D4B3A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 xml:space="preserve">stosunku do których jednostka wykonuje uprawnienia właścicielskie, na podstawie posiadanej decyzji właściwego organu i protokołu zdawczo – odbiorczego z przekazania </w:t>
      </w:r>
      <w:r w:rsidRPr="009B5E24">
        <w:rPr>
          <w:rFonts w:ascii="Times New Roman" w:hAnsi="Times New Roman" w:cs="Times New Roman"/>
          <w:sz w:val="24"/>
          <w:szCs w:val="24"/>
        </w:rPr>
        <w:lastRenderedPageBreak/>
        <w:t>gruntu w trwały zarząd. Grunty wycenione są w bilansie w cenie zakupu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3472E965" w14:textId="125FE7F6" w:rsidR="009B5E24" w:rsidRDefault="009B5E24" w:rsidP="00BD0DA5">
      <w:pPr>
        <w:spacing w:line="276" w:lineRule="auto"/>
        <w:jc w:val="both"/>
        <w:rPr>
          <w:rFonts w:ascii="Times New Roman" w:hAnsi="Times New Roman" w:cs="Times New Roman"/>
          <w:sz w:val="24"/>
          <w:szCs w:val="24"/>
        </w:rPr>
      </w:pPr>
    </w:p>
    <w:p w14:paraId="04528D3B" w14:textId="6E00C122" w:rsidR="00BD0DA5" w:rsidRDefault="00BD0DA5"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7A7FC0FD" w:rsidR="009B5E24" w:rsidRPr="009B5E24" w:rsidRDefault="009B5E24" w:rsidP="00BD0DA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środki trwałe   –  obejmują:</w:t>
      </w:r>
    </w:p>
    <w:p w14:paraId="7373B84C" w14:textId="77777777" w:rsidR="009B5E24" w:rsidRPr="009B5E24" w:rsidRDefault="009B5E24" w:rsidP="00BD0DA5">
      <w:pPr>
        <w:spacing w:line="276" w:lineRule="auto"/>
        <w:jc w:val="both"/>
        <w:rPr>
          <w:rFonts w:ascii="Times New Roman" w:hAnsi="Times New Roman" w:cs="Times New Roman"/>
          <w:sz w:val="24"/>
          <w:szCs w:val="24"/>
        </w:rPr>
      </w:pPr>
    </w:p>
    <w:p w14:paraId="397224A9" w14:textId="6266BB36" w:rsidR="009B5E24" w:rsidRPr="002B6461" w:rsidRDefault="009B5E24" w:rsidP="00BD0DA5">
      <w:pPr>
        <w:pStyle w:val="Akapitzlist"/>
        <w:numPr>
          <w:ilvl w:val="0"/>
          <w:numId w:val="15"/>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bez względu na wartość:</w:t>
      </w:r>
    </w:p>
    <w:p w14:paraId="38CEF1CB" w14:textId="77777777"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książki i inne zbiory biblioteczne,</w:t>
      </w:r>
    </w:p>
    <w:p w14:paraId="5E9543C3" w14:textId="08D06446"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dydaktyczne, służące do nauczania i wychowania w szkołach i</w:t>
      </w:r>
      <w:r w:rsidR="00BD0DA5">
        <w:rPr>
          <w:rFonts w:ascii="Times New Roman" w:hAnsi="Times New Roman" w:cs="Times New Roman"/>
          <w:sz w:val="24"/>
          <w:szCs w:val="24"/>
        </w:rPr>
        <w:t> </w:t>
      </w:r>
      <w:r w:rsidRPr="002B6461">
        <w:rPr>
          <w:rFonts w:ascii="Times New Roman" w:hAnsi="Times New Roman" w:cs="Times New Roman"/>
          <w:sz w:val="24"/>
          <w:szCs w:val="24"/>
        </w:rPr>
        <w:t>placówkach  oświatowych,</w:t>
      </w:r>
    </w:p>
    <w:p w14:paraId="738EFC18" w14:textId="77777777"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odzież i umundurowanie,</w:t>
      </w:r>
    </w:p>
    <w:p w14:paraId="65223EA3" w14:textId="05CF0F6A" w:rsidR="009B5E24" w:rsidRP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meble i dywany,</w:t>
      </w:r>
    </w:p>
    <w:p w14:paraId="4C90D8A6" w14:textId="7E3B00AE" w:rsidR="00CB2EBF" w:rsidRDefault="009B5E24" w:rsidP="00BD0DA5">
      <w:pPr>
        <w:pStyle w:val="Akapitzlist"/>
        <w:numPr>
          <w:ilvl w:val="0"/>
          <w:numId w:val="15"/>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trwałe o wartości początkowej nieprzekraczającej wielkości ustalonej w przepisach o podatku dochodowym od osób prawnych, dla których odpisy amortyzacyjne są uznawane za koszt uzyskania przychodu w 100 % ich wartości w momencie oddania ich do używania</w:t>
      </w:r>
      <w:r w:rsidR="00CB2EBF">
        <w:rPr>
          <w:rFonts w:ascii="Times New Roman" w:hAnsi="Times New Roman" w:cs="Times New Roman"/>
          <w:sz w:val="24"/>
          <w:szCs w:val="24"/>
        </w:rPr>
        <w:t>;</w:t>
      </w:r>
    </w:p>
    <w:p w14:paraId="2B746271" w14:textId="5DB3E6B3" w:rsidR="009B5E24" w:rsidRPr="00CB2EBF"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CB2EBF">
        <w:rPr>
          <w:rFonts w:ascii="Times New Roman" w:hAnsi="Times New Roman" w:cs="Times New Roman"/>
          <w:sz w:val="24"/>
          <w:szCs w:val="24"/>
        </w:rPr>
        <w:t>ozostałe środki trwałe, w cenie nabycia powyżej 200 zł, objęte są ewidencją ilościowo–wartościową i ujęte są na koncie 013 „Pozostałe środki trwałe”. Umarza się je w 100 % w miesiącu przyjęcia do używania, a umorzenie to ujmuje się na koncie 072 „Umorzenie pozostałych środków trwałych, wartości niematerialnych i prawnych oraz zbiorów bibliotecznych” w</w:t>
      </w:r>
      <w:r>
        <w:rPr>
          <w:rFonts w:ascii="Times New Roman" w:hAnsi="Times New Roman" w:cs="Times New Roman"/>
          <w:sz w:val="24"/>
          <w:szCs w:val="24"/>
        </w:rPr>
        <w:t> </w:t>
      </w:r>
      <w:r w:rsidR="009B5E24" w:rsidRPr="00CB2EBF">
        <w:rPr>
          <w:rFonts w:ascii="Times New Roman" w:hAnsi="Times New Roman" w:cs="Times New Roman"/>
          <w:sz w:val="24"/>
          <w:szCs w:val="24"/>
        </w:rPr>
        <w:t>korespondencji z kon</w:t>
      </w:r>
      <w:r w:rsidR="00F64B6A">
        <w:rPr>
          <w:rFonts w:ascii="Times New Roman" w:hAnsi="Times New Roman" w:cs="Times New Roman"/>
          <w:sz w:val="24"/>
          <w:szCs w:val="24"/>
        </w:rPr>
        <w:t>tem 401 – „Zużycie materiałów i </w:t>
      </w:r>
      <w:r w:rsidR="009B5E24" w:rsidRPr="00CB2EBF">
        <w:rPr>
          <w:rFonts w:ascii="Times New Roman" w:hAnsi="Times New Roman" w:cs="Times New Roman"/>
          <w:sz w:val="24"/>
          <w:szCs w:val="24"/>
        </w:rPr>
        <w:t>energii” i kontem 402 „Usługi obce”.</w:t>
      </w:r>
    </w:p>
    <w:p w14:paraId="2AF16630" w14:textId="77777777" w:rsidR="009B5E24" w:rsidRPr="009B5E24" w:rsidRDefault="009B5E24" w:rsidP="00BD0DA5">
      <w:pPr>
        <w:spacing w:line="276" w:lineRule="auto"/>
        <w:jc w:val="both"/>
        <w:rPr>
          <w:rFonts w:ascii="Times New Roman" w:hAnsi="Times New Roman" w:cs="Times New Roman"/>
          <w:sz w:val="24"/>
          <w:szCs w:val="24"/>
        </w:rPr>
      </w:pPr>
    </w:p>
    <w:p w14:paraId="568C2812" w14:textId="77777777" w:rsid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(t.j. Dz.U. z 2008 r., nr 205, poz. 1283).</w:t>
      </w:r>
    </w:p>
    <w:p w14:paraId="143DC586" w14:textId="275FB431" w:rsidR="00CB2EBF"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CB2EBF">
        <w:rPr>
          <w:rFonts w:ascii="Times New Roman" w:hAnsi="Times New Roman" w:cs="Times New Roman"/>
          <w:sz w:val="24"/>
          <w:szCs w:val="24"/>
        </w:rPr>
        <w:t>akupione zbiory wyceniane są w cenie zakupu. Zbiory ujawnione, darowane wycenia się według wartości szacunkowej ustalonej komisyjnie i</w:t>
      </w:r>
      <w:r w:rsidR="009117A2">
        <w:rPr>
          <w:rFonts w:ascii="Times New Roman" w:hAnsi="Times New Roman" w:cs="Times New Roman"/>
          <w:sz w:val="24"/>
          <w:szCs w:val="24"/>
        </w:rPr>
        <w:t> </w:t>
      </w:r>
      <w:r w:rsidR="009B5E24" w:rsidRPr="00CB2EBF">
        <w:rPr>
          <w:rFonts w:ascii="Times New Roman" w:hAnsi="Times New Roman" w:cs="Times New Roman"/>
          <w:sz w:val="24"/>
          <w:szCs w:val="24"/>
        </w:rPr>
        <w:t>zatwierdzonej przez kierownika jednostki. Rozchody wycenia się w</w:t>
      </w:r>
      <w:r w:rsidR="009117A2">
        <w:rPr>
          <w:rFonts w:ascii="Times New Roman" w:hAnsi="Times New Roman" w:cs="Times New Roman"/>
          <w:sz w:val="24"/>
          <w:szCs w:val="24"/>
        </w:rPr>
        <w:t> </w:t>
      </w:r>
      <w:r w:rsidR="009B5E24" w:rsidRPr="00CB2EBF">
        <w:rPr>
          <w:rFonts w:ascii="Times New Roman" w:hAnsi="Times New Roman" w:cs="Times New Roman"/>
          <w:sz w:val="24"/>
          <w:szCs w:val="24"/>
        </w:rPr>
        <w:t>wartości ewidencyjnej</w:t>
      </w:r>
      <w:r>
        <w:rPr>
          <w:rFonts w:ascii="Times New Roman" w:hAnsi="Times New Roman" w:cs="Times New Roman"/>
          <w:sz w:val="24"/>
          <w:szCs w:val="24"/>
        </w:rPr>
        <w:t>;</w:t>
      </w:r>
    </w:p>
    <w:p w14:paraId="7B2CAAEC" w14:textId="77777777" w:rsidR="00E961C7"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CB2EBF">
        <w:rPr>
          <w:rFonts w:ascii="Times New Roman" w:hAnsi="Times New Roman" w:cs="Times New Roman"/>
          <w:sz w:val="24"/>
          <w:szCs w:val="24"/>
        </w:rPr>
        <w:t>biory biblioteczne bez względu na wartość umarzane są w 100% w</w:t>
      </w:r>
      <w:r>
        <w:rPr>
          <w:rFonts w:ascii="Times New Roman" w:hAnsi="Times New Roman" w:cs="Times New Roman"/>
          <w:sz w:val="24"/>
          <w:szCs w:val="24"/>
        </w:rPr>
        <w:t> </w:t>
      </w:r>
      <w:r w:rsidR="009B5E24" w:rsidRPr="00CB2EBF">
        <w:rPr>
          <w:rFonts w:ascii="Times New Roman" w:hAnsi="Times New Roman" w:cs="Times New Roman"/>
          <w:sz w:val="24"/>
          <w:szCs w:val="24"/>
        </w:rPr>
        <w:t xml:space="preserve">miesiącu przyjęcia do używania. Umorzenie ujmowane jest na koncie 072 </w:t>
      </w:r>
    </w:p>
    <w:p w14:paraId="2FEA62F0" w14:textId="77777777" w:rsidR="00E961C7" w:rsidRDefault="00E961C7" w:rsidP="00BD0DA5">
      <w:pPr>
        <w:pStyle w:val="Akapitzlist"/>
        <w:spacing w:line="276" w:lineRule="auto"/>
        <w:ind w:left="1788"/>
        <w:jc w:val="both"/>
        <w:rPr>
          <w:rFonts w:ascii="Times New Roman" w:hAnsi="Times New Roman" w:cs="Times New Roman"/>
          <w:sz w:val="24"/>
          <w:szCs w:val="24"/>
        </w:rPr>
      </w:pPr>
    </w:p>
    <w:p w14:paraId="053012FB" w14:textId="4DE25AD7" w:rsidR="009B5E24" w:rsidRPr="00CB2EBF" w:rsidRDefault="009B5E24" w:rsidP="00BD0DA5">
      <w:pPr>
        <w:pStyle w:val="Akapitzlist"/>
        <w:spacing w:line="276" w:lineRule="auto"/>
        <w:ind w:left="1788"/>
        <w:jc w:val="both"/>
        <w:rPr>
          <w:rFonts w:ascii="Times New Roman" w:hAnsi="Times New Roman" w:cs="Times New Roman"/>
          <w:sz w:val="24"/>
          <w:szCs w:val="24"/>
        </w:rPr>
      </w:pPr>
      <w:r w:rsidRPr="00CB2EBF">
        <w:rPr>
          <w:rFonts w:ascii="Times New Roman" w:hAnsi="Times New Roman" w:cs="Times New Roman"/>
          <w:sz w:val="24"/>
          <w:szCs w:val="24"/>
        </w:rPr>
        <w:lastRenderedPageBreak/>
        <w:t>„Umorzenie pozostałych środków trwałych, wartości niematerialnych i</w:t>
      </w:r>
      <w:r w:rsidR="00CB2EBF">
        <w:rPr>
          <w:rFonts w:ascii="Times New Roman" w:hAnsi="Times New Roman" w:cs="Times New Roman"/>
          <w:sz w:val="24"/>
          <w:szCs w:val="24"/>
        </w:rPr>
        <w:t> </w:t>
      </w:r>
      <w:r w:rsidRPr="00CB2EBF">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6FFF71F7" w14:textId="64B1257F" w:rsidR="009B5E24" w:rsidRP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Środki trwałe w budowie (inwestycje) obejmują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22C5754C"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niepodlegający odliczeniu podatek od towarów i usług oraz podatek akcyzowy,</w:t>
      </w:r>
    </w:p>
    <w:p w14:paraId="77316138" w14:textId="01981F05"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koszt obsługi zobowiązań zaciągniętych w celu sfinansowania i związane z</w:t>
      </w:r>
      <w:r w:rsidR="00E961C7">
        <w:rPr>
          <w:rFonts w:ascii="Times New Roman" w:hAnsi="Times New Roman" w:cs="Times New Roman"/>
          <w:sz w:val="24"/>
          <w:szCs w:val="24"/>
        </w:rPr>
        <w:t> </w:t>
      </w:r>
      <w:r w:rsidRPr="00CB2EBF">
        <w:rPr>
          <w:rFonts w:ascii="Times New Roman" w:hAnsi="Times New Roman" w:cs="Times New Roman"/>
          <w:sz w:val="24"/>
          <w:szCs w:val="24"/>
        </w:rPr>
        <w:t xml:space="preserve">nimi     różnice kursowe, pomniejszony o przychody z tego tytułu,  </w:t>
      </w:r>
    </w:p>
    <w:p w14:paraId="2DC323C6"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opłaty notarialne, sądowe i inne,</w:t>
      </w:r>
    </w:p>
    <w:p w14:paraId="62F88D2E"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odszkodowania dla osób fizycznych i prawnych wypłacone do zakończenia    budowy.</w:t>
      </w:r>
    </w:p>
    <w:p w14:paraId="4ABC43D4" w14:textId="77777777" w:rsidR="00CB2EBF" w:rsidRDefault="00CB2EBF" w:rsidP="00BD0DA5">
      <w:pPr>
        <w:pStyle w:val="Akapitzlist"/>
        <w:spacing w:line="276" w:lineRule="auto"/>
        <w:ind w:left="1776"/>
        <w:jc w:val="both"/>
        <w:rPr>
          <w:rFonts w:ascii="Times New Roman" w:hAnsi="Times New Roman" w:cs="Times New Roman"/>
          <w:sz w:val="24"/>
          <w:szCs w:val="24"/>
        </w:rPr>
      </w:pPr>
    </w:p>
    <w:p w14:paraId="0E02E2D4" w14:textId="1C522497" w:rsidR="009B5E24" w:rsidRPr="00CB2EBF" w:rsidRDefault="009B5E24" w:rsidP="00BD0DA5">
      <w:pPr>
        <w:pStyle w:val="Akapitzlist"/>
        <w:spacing w:line="276" w:lineRule="auto"/>
        <w:ind w:left="1776"/>
        <w:jc w:val="both"/>
        <w:rPr>
          <w:rFonts w:ascii="Times New Roman" w:hAnsi="Times New Roman" w:cs="Times New Roman"/>
          <w:sz w:val="24"/>
          <w:szCs w:val="24"/>
        </w:rPr>
      </w:pPr>
      <w:r w:rsidRPr="00CB2EBF">
        <w:rPr>
          <w:rFonts w:ascii="Times New Roman" w:hAnsi="Times New Roman" w:cs="Times New Roman"/>
          <w:sz w:val="24"/>
          <w:szCs w:val="24"/>
        </w:rPr>
        <w:t>Do kosztów wytworzenia nie zalicza się kosztów ogłoszeń, przetargów i</w:t>
      </w:r>
      <w:r w:rsidR="00E961C7">
        <w:rPr>
          <w:rFonts w:ascii="Times New Roman" w:hAnsi="Times New Roman" w:cs="Times New Roman"/>
          <w:sz w:val="24"/>
          <w:szCs w:val="24"/>
        </w:rPr>
        <w:t> </w:t>
      </w:r>
      <w:r w:rsidRPr="00CB2EBF">
        <w:rPr>
          <w:rFonts w:ascii="Times New Roman" w:hAnsi="Times New Roman" w:cs="Times New Roman"/>
          <w:sz w:val="24"/>
          <w:szCs w:val="24"/>
        </w:rPr>
        <w:t>innych związanych z realizacją inwestycji, które poniesione zostały przed udzieleniem zamówień związanych z jej realizacją oraz kosztów ogólnego zarządu. Do kosztów inwestycji należy zaliczyć następujące koszty:</w:t>
      </w:r>
    </w:p>
    <w:p w14:paraId="239DBA4A"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dokumentacji projektowej,</w:t>
      </w:r>
    </w:p>
    <w:p w14:paraId="11BC2768"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nabycia gruntów i innych składników majątku, związanych z budową,</w:t>
      </w:r>
    </w:p>
    <w:p w14:paraId="3316B87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badań geologicznych i innych dotyczących określenia właściwości geologicznych terenu,</w:t>
      </w:r>
    </w:p>
    <w:p w14:paraId="7CFC6F94"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przygotowania terenu pod budowę, pomniejszone o przychody ze sprzedaży zlikwidowanych na nim obiektów,</w:t>
      </w:r>
    </w:p>
    <w:p w14:paraId="402D6BFC"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opłat z tytułu użytkowania gruntów i terenów w okresie budowy,</w:t>
      </w:r>
    </w:p>
    <w:p w14:paraId="5EB24BD5"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założenia stref ochronnych i zieleni,</w:t>
      </w:r>
    </w:p>
    <w:p w14:paraId="495FAD8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nadzoru autorskiego i inwestorskiego,</w:t>
      </w:r>
    </w:p>
    <w:p w14:paraId="26A6FA18"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ubezpieczeń majątkowych obiektów w trakcie budowy,</w:t>
      </w:r>
    </w:p>
    <w:p w14:paraId="56F27D39"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sprzątania obiektów poprzedzającego oddanie do używania,</w:t>
      </w:r>
    </w:p>
    <w:p w14:paraId="36BE1E33" w14:textId="3B8420FE" w:rsidR="009B5E24" w:rsidRP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30B111AB" w14:textId="77777777" w:rsid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Należności długoterminowe obejmują należności, których termin spłaty przypada w</w:t>
      </w:r>
      <w:r w:rsidR="00CB2EBF">
        <w:rPr>
          <w:rFonts w:ascii="Times New Roman" w:hAnsi="Times New Roman" w:cs="Times New Roman"/>
          <w:sz w:val="24"/>
          <w:szCs w:val="24"/>
        </w:rPr>
        <w:t> </w:t>
      </w:r>
      <w:r w:rsidRPr="002B6461">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Pr>
          <w:rFonts w:ascii="Times New Roman" w:hAnsi="Times New Roman" w:cs="Times New Roman"/>
          <w:sz w:val="24"/>
          <w:szCs w:val="24"/>
        </w:rPr>
        <w:t> </w:t>
      </w:r>
      <w:r w:rsidRPr="002B6461">
        <w:rPr>
          <w:rFonts w:ascii="Times New Roman" w:hAnsi="Times New Roman" w:cs="Times New Roman"/>
          <w:sz w:val="24"/>
          <w:szCs w:val="24"/>
        </w:rPr>
        <w:t>kwocie wymagającej zapłaty, tj. łącznie z należnymi odsetkami, pomniejszone o</w:t>
      </w:r>
      <w:r w:rsidR="00CB2EBF">
        <w:rPr>
          <w:rFonts w:ascii="Times New Roman" w:hAnsi="Times New Roman" w:cs="Times New Roman"/>
          <w:sz w:val="24"/>
          <w:szCs w:val="24"/>
        </w:rPr>
        <w:t> </w:t>
      </w:r>
      <w:r w:rsidRPr="002B6461">
        <w:rPr>
          <w:rFonts w:ascii="Times New Roman" w:hAnsi="Times New Roman" w:cs="Times New Roman"/>
          <w:sz w:val="24"/>
          <w:szCs w:val="24"/>
        </w:rPr>
        <w:t xml:space="preserve">ewentualne odpisy aktualizujące zgodnie z zasadą ostrożnej wyceny oraz według art. 35b ust. 1 ustawy </w:t>
      </w:r>
      <w:r w:rsidRPr="00CB2EBF">
        <w:rPr>
          <w:rFonts w:ascii="Times New Roman" w:hAnsi="Times New Roman" w:cs="Times New Roman"/>
          <w:sz w:val="24"/>
          <w:szCs w:val="24"/>
        </w:rPr>
        <w:t xml:space="preserve">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raty płatne w roku obrotowym następującym po dniu bilansowym oraz raty zaległe we właściwej pozycji B.II aktywów,</w:t>
      </w:r>
    </w:p>
    <w:p w14:paraId="453B29DE" w14:textId="4D16B826" w:rsidR="009B5E24" w:rsidRP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32F24C7F" w:rsid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4324D1CC" w14:textId="45E0C1EF" w:rsidR="00CB2EBF" w:rsidRDefault="00CB2EBF"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apasy obejmują materiały. W jednostce zakupione materiały ujmowane  są w</w:t>
      </w:r>
      <w:r w:rsidR="00BD0DA5">
        <w:rPr>
          <w:rFonts w:ascii="Times New Roman" w:hAnsi="Times New Roman" w:cs="Times New Roman"/>
          <w:sz w:val="24"/>
          <w:szCs w:val="24"/>
        </w:rPr>
        <w:t> </w:t>
      </w:r>
      <w:r w:rsidR="009B5E24" w:rsidRPr="009B5E24">
        <w:rPr>
          <w:rFonts w:ascii="Times New Roman" w:hAnsi="Times New Roman" w:cs="Times New Roman"/>
          <w:sz w:val="24"/>
          <w:szCs w:val="24"/>
        </w:rPr>
        <w:t>ewidencji wartościowej w księgach rachunkowych w rzeczywistych cenach zakupu, a koszty ich zakupu zalicza się w całości do kosztów okresu, w którym je poniesiono. Rozchody wyceniane są według rzeczywistych cen zakupu w drodze szczegółowej identyfikacji zapasów. Wartość dostaw niefakturowanych ustala się stosując ceny przyjęte w</w:t>
      </w:r>
      <w:r>
        <w:rPr>
          <w:rFonts w:ascii="Times New Roman" w:hAnsi="Times New Roman" w:cs="Times New Roman"/>
          <w:sz w:val="24"/>
          <w:szCs w:val="24"/>
        </w:rPr>
        <w:t> </w:t>
      </w:r>
      <w:r w:rsidR="009B5E24" w:rsidRPr="009B5E24">
        <w:rPr>
          <w:rFonts w:ascii="Times New Roman" w:hAnsi="Times New Roman" w:cs="Times New Roman"/>
          <w:sz w:val="24"/>
          <w:szCs w:val="24"/>
        </w:rPr>
        <w:t>ewidencji materiałów. Materiały drobne o niskiej wartości jednostkowej, zużywane w niewielkich ilościach spisywane są w koszty z chwilą ich zakupu i nie podlegają ewidencji. Dla materiałów przechowywanych w magazynie prowadzona jest ewidencja ilościowo – wartościowa dostosowana do potrzeb sprawozdawczości oraz umożliwiająca rozliczenie osób materialnie odpowiedzialnych.</w:t>
      </w: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0D270974" w14:textId="2446A3AD" w:rsidR="00F412EC" w:rsidRPr="00F412EC" w:rsidRDefault="009B5E24" w:rsidP="00BD0DA5">
      <w:pPr>
        <w:pStyle w:val="Akapitzlist"/>
        <w:numPr>
          <w:ilvl w:val="0"/>
          <w:numId w:val="1"/>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Należności krótkoterminowe – obejmują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Pr="00F412EC">
        <w:rPr>
          <w:rFonts w:ascii="Times New Roman" w:hAnsi="Times New Roman" w:cs="Times New Roman"/>
          <w:sz w:val="24"/>
          <w:szCs w:val="24"/>
        </w:rPr>
        <w:t>Nale</w:t>
      </w:r>
      <w:r w:rsidR="00E961C7">
        <w:rPr>
          <w:rFonts w:ascii="Times New Roman" w:hAnsi="Times New Roman" w:cs="Times New Roman"/>
          <w:sz w:val="24"/>
          <w:szCs w:val="24"/>
        </w:rPr>
        <w:t>ż</w:t>
      </w:r>
      <w:r w:rsidRPr="00F412EC">
        <w:rPr>
          <w:rFonts w:ascii="Times New Roman" w:hAnsi="Times New Roman" w:cs="Times New Roman"/>
          <w:sz w:val="24"/>
          <w:szCs w:val="24"/>
        </w:rPr>
        <w:t xml:space="preserve">ności 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02D376C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pieniężne w kasie i na rachunkach bankowych wycenia się według wartości nominalnej. Walutę obcą wycenia się według kursu średniego danej waluty ustalonego przez Prezesa NBP na ten dzień. W ciągu roku operacje sprzedaży i kupna walut oraz operacje zapłaty należności wycenia się po kurs</w:t>
      </w:r>
      <w:r w:rsidR="00F64B6A">
        <w:rPr>
          <w:rFonts w:ascii="Times New Roman" w:hAnsi="Times New Roman" w:cs="Times New Roman"/>
          <w:sz w:val="24"/>
          <w:szCs w:val="24"/>
        </w:rPr>
        <w:t>ie kupna lub sprzedaży banku, z </w:t>
      </w:r>
      <w:r w:rsidRPr="009B5E24">
        <w:rPr>
          <w:rFonts w:ascii="Times New Roman" w:hAnsi="Times New Roman" w:cs="Times New Roman"/>
          <w:sz w:val="24"/>
          <w:szCs w:val="24"/>
        </w:rPr>
        <w:t>którego usług się korzysta.</w:t>
      </w:r>
    </w:p>
    <w:p w14:paraId="679BFADB" w14:textId="1CD4F18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czynne kosztów 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P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Pasywa obejmujące:</w:t>
      </w:r>
    </w:p>
    <w:p w14:paraId="5362CC5E" w14:textId="20A2F112" w:rsidR="009B5E24" w:rsidRP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zobowiązania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10470326" w14:textId="77777777" w:rsidR="009B5E24" w:rsidRPr="009B5E24" w:rsidRDefault="009B5E24" w:rsidP="00BD0DA5">
      <w:pPr>
        <w:spacing w:line="276" w:lineRule="auto"/>
        <w:jc w:val="both"/>
        <w:rPr>
          <w:rFonts w:ascii="Times New Roman" w:hAnsi="Times New Roman" w:cs="Times New Roman"/>
          <w:sz w:val="24"/>
          <w:szCs w:val="24"/>
        </w:rPr>
      </w:pPr>
    </w:p>
    <w:p w14:paraId="0F5089D9" w14:textId="4A4327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Zgodnie z ustawą o podatku od towarów i usług istnieje</w:t>
      </w:r>
      <w:r w:rsidR="00F64B6A">
        <w:rPr>
          <w:rFonts w:ascii="Times New Roman" w:hAnsi="Times New Roman" w:cs="Times New Roman"/>
          <w:sz w:val="24"/>
          <w:szCs w:val="24"/>
        </w:rPr>
        <w:t xml:space="preserve"> możliwość przesyłania faktur w </w:t>
      </w:r>
      <w:r w:rsidRPr="009B5E24">
        <w:rPr>
          <w:rFonts w:ascii="Times New Roman" w:hAnsi="Times New Roman" w:cs="Times New Roman"/>
          <w:sz w:val="24"/>
          <w:szCs w:val="24"/>
        </w:rPr>
        <w:t>formie elektronicznej.</w:t>
      </w:r>
    </w:p>
    <w:p w14:paraId="1FC4F0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Faktury mogą być przesyłane w formie elektronicznej w dowolnym formacie elektronicznym, pod warunkiem uprzedniej akceptacji tego sposobu przesyłania przez jednostkę która będzie odpowiedzialna za prawidłowe przechowywanie otrzymanego elektronicznego pliku. </w:t>
      </w:r>
    </w:p>
    <w:p w14:paraId="614827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Faktury przesłane drogą elektroniczną są przechowywane w sposób zapewniający: </w:t>
      </w:r>
    </w:p>
    <w:p w14:paraId="4440833E"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łatwe ich odszukanie,</w:t>
      </w:r>
    </w:p>
    <w:p w14:paraId="6293B9FB"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bezzwłoczny dostęp organowi podatkowemu lub organowi kontroli skarbowej.</w:t>
      </w:r>
    </w:p>
    <w:p w14:paraId="2FF9DA65" w14:textId="44DF9CE2" w:rsidR="009B5E24" w:rsidRDefault="00F412EC" w:rsidP="00BD0DA5">
      <w:pPr>
        <w:pStyle w:val="Akapitzlist"/>
        <w:numPr>
          <w:ilvl w:val="0"/>
          <w:numId w:val="17"/>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godnie z Dyrektywą Parlamentu Europejskiego i Rady 2014/55/WE z dnia 16</w:t>
      </w:r>
      <w:r w:rsidR="00511CF6">
        <w:rPr>
          <w:rFonts w:ascii="Times New Roman" w:hAnsi="Times New Roman" w:cs="Times New Roman"/>
          <w:sz w:val="24"/>
          <w:szCs w:val="24"/>
        </w:rPr>
        <w:t> </w:t>
      </w:r>
      <w:r w:rsidR="009B5E24" w:rsidRPr="00F412EC">
        <w:rPr>
          <w:rFonts w:ascii="Times New Roman" w:hAnsi="Times New Roman" w:cs="Times New Roman"/>
          <w:sz w:val="24"/>
          <w:szCs w:val="24"/>
        </w:rPr>
        <w:t>kwietnia 2014 r. w sprawie fakturowania elektronicznego w zamówieniach publicznych (Dz.U. UE 133 z dnia 6 maja 2014r.) oraz w związku z ustawą z</w:t>
      </w:r>
      <w:r w:rsidR="00511CF6">
        <w:rPr>
          <w:rFonts w:ascii="Times New Roman" w:hAnsi="Times New Roman" w:cs="Times New Roman"/>
          <w:sz w:val="24"/>
          <w:szCs w:val="24"/>
        </w:rPr>
        <w:t> </w:t>
      </w:r>
      <w:r w:rsidR="009B5E24" w:rsidRPr="00F412EC">
        <w:rPr>
          <w:rFonts w:ascii="Times New Roman" w:hAnsi="Times New Roman" w:cs="Times New Roman"/>
          <w:sz w:val="24"/>
          <w:szCs w:val="24"/>
        </w:rPr>
        <w:t xml:space="preserve">9listopada 2018 r. o elektronicznym fakturowaniu w zamówieniach publicznych, koncesjach na roboty budowlane lub usługi oraz partnerstwie publiczno-prawnym </w:t>
      </w:r>
      <w:r w:rsidR="009B5E24" w:rsidRPr="00F412EC">
        <w:rPr>
          <w:rFonts w:ascii="Times New Roman" w:hAnsi="Times New Roman" w:cs="Times New Roman"/>
          <w:sz w:val="24"/>
          <w:szCs w:val="24"/>
        </w:rPr>
        <w:lastRenderedPageBreak/>
        <w:t>(Dz.U. z 23 listopada 2018 r. poz 2191)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Pr>
          <w:rFonts w:ascii="Times New Roman" w:hAnsi="Times New Roman" w:cs="Times New Roman"/>
          <w:sz w:val="24"/>
          <w:szCs w:val="24"/>
        </w:rPr>
        <w:t> </w:t>
      </w:r>
      <w:r w:rsidR="009B5E24" w:rsidRPr="00F412EC">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7AC45C47" w14:textId="77777777" w:rsidR="00F412EC" w:rsidRPr="00F412EC" w:rsidRDefault="00F412EC" w:rsidP="00BD0DA5">
      <w:pPr>
        <w:pStyle w:val="Akapitzlist"/>
        <w:spacing w:line="276" w:lineRule="auto"/>
        <w:ind w:left="1068"/>
        <w:jc w:val="both"/>
        <w:rPr>
          <w:rFonts w:ascii="Times New Roman" w:hAnsi="Times New Roman" w:cs="Times New Roman"/>
          <w:sz w:val="24"/>
          <w:szCs w:val="24"/>
        </w:rPr>
      </w:pPr>
    </w:p>
    <w:p w14:paraId="1F3C271D" w14:textId="723C3C2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sidR="00F412EC">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1B555E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04AC8A7C" w14:textId="77777777" w:rsidR="009B5E24" w:rsidRPr="009B5E24" w:rsidRDefault="009B5E24" w:rsidP="00BD0DA5">
      <w:pPr>
        <w:spacing w:line="276" w:lineRule="auto"/>
        <w:jc w:val="both"/>
        <w:rPr>
          <w:rFonts w:ascii="Times New Roman" w:hAnsi="Times New Roman" w:cs="Times New Roman"/>
          <w:sz w:val="24"/>
          <w:szCs w:val="24"/>
        </w:rPr>
      </w:pPr>
    </w:p>
    <w:p w14:paraId="6A49602E" w14:textId="77777777" w:rsidR="009B5E24" w:rsidRPr="009B5E24" w:rsidRDefault="009B5E24" w:rsidP="00BD0DA5">
      <w:pPr>
        <w:spacing w:line="276" w:lineRule="auto"/>
        <w:jc w:val="both"/>
        <w:rPr>
          <w:rFonts w:ascii="Times New Roman" w:hAnsi="Times New Roman" w:cs="Times New Roman"/>
          <w:sz w:val="24"/>
          <w:szCs w:val="24"/>
        </w:rPr>
      </w:pPr>
    </w:p>
    <w:p w14:paraId="2323092D" w14:textId="6B03503B" w:rsidR="009B5E24" w:rsidRPr="009B5E24" w:rsidRDefault="009B5E24" w:rsidP="00BD0DA5">
      <w:pPr>
        <w:spacing w:line="276" w:lineRule="auto"/>
        <w:jc w:val="both"/>
        <w:rPr>
          <w:rFonts w:ascii="Times New Roman" w:hAnsi="Times New Roman" w:cs="Times New Roman"/>
          <w:sz w:val="24"/>
          <w:szCs w:val="24"/>
        </w:rPr>
      </w:pPr>
      <w:r w:rsidRPr="00FF35AA">
        <w:rPr>
          <w:rFonts w:ascii="Times New Roman" w:hAnsi="Times New Roman" w:cs="Times New Roman"/>
          <w:b/>
          <w:bCs/>
          <w:sz w:val="24"/>
          <w:szCs w:val="24"/>
        </w:rPr>
        <w:t>11.</w:t>
      </w:r>
      <w:r w:rsidRPr="00FF35AA">
        <w:rPr>
          <w:rFonts w:ascii="Times New Roman" w:hAnsi="Times New Roman" w:cs="Times New Roman"/>
          <w:b/>
          <w:bCs/>
          <w:sz w:val="24"/>
          <w:szCs w:val="24"/>
        </w:rPr>
        <w:tab/>
        <w:t>Zaangażowanie</w:t>
      </w:r>
      <w:r w:rsidRPr="009B5E24">
        <w:rPr>
          <w:rFonts w:ascii="Times New Roman" w:hAnsi="Times New Roman" w:cs="Times New Roman"/>
          <w:sz w:val="24"/>
          <w:szCs w:val="24"/>
        </w:rPr>
        <w:t xml:space="preserve"> 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1223C43D" w14:textId="77777777" w:rsidR="009B5E24" w:rsidRPr="009B5E24" w:rsidRDefault="009B5E24" w:rsidP="00BD0DA5">
      <w:pPr>
        <w:spacing w:line="276" w:lineRule="auto"/>
        <w:jc w:val="both"/>
        <w:rPr>
          <w:rFonts w:ascii="Times New Roman" w:hAnsi="Times New Roman" w:cs="Times New Roman"/>
          <w:sz w:val="24"/>
          <w:szCs w:val="24"/>
        </w:rPr>
      </w:pPr>
    </w:p>
    <w:p w14:paraId="1381E9F9" w14:textId="7929C8B0" w:rsidR="009B5E24" w:rsidRPr="00FF35AA"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12.</w:t>
      </w:r>
      <w:r w:rsidRPr="00FF35AA">
        <w:rPr>
          <w:rFonts w:ascii="Times New Roman" w:hAnsi="Times New Roman" w:cs="Times New Roman"/>
          <w:b/>
          <w:bCs/>
          <w:sz w:val="24"/>
          <w:szCs w:val="24"/>
        </w:rPr>
        <w:tab/>
        <w:t>Zasady prowadzenia ewidencji:</w:t>
      </w:r>
    </w:p>
    <w:p w14:paraId="79F9BA0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 uwzględnieniem uproszczeń, o których mowa w art. 21 ust. 1a UOR.</w:t>
      </w:r>
    </w:p>
    <w:p w14:paraId="7C6218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 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BD0DA5">
      <w:pPr>
        <w:spacing w:line="276" w:lineRule="auto"/>
        <w:jc w:val="both"/>
        <w:rPr>
          <w:rFonts w:ascii="Times New Roman" w:hAnsi="Times New Roman" w:cs="Times New Roman"/>
          <w:sz w:val="24"/>
          <w:szCs w:val="24"/>
        </w:rPr>
      </w:pPr>
    </w:p>
    <w:p w14:paraId="5C3EBFC6" w14:textId="5A7CD440" w:rsidR="00FF35A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22FFA69B"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p>
    <w:p w14:paraId="08A15DF0"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 stanowią „Pozostałe środki trwałe”</w:t>
      </w:r>
      <w:r w:rsidR="00FF35AA">
        <w:rPr>
          <w:rFonts w:ascii="Times New Roman" w:hAnsi="Times New Roman" w:cs="Times New Roman"/>
          <w:sz w:val="24"/>
          <w:szCs w:val="24"/>
        </w:rPr>
        <w:t xml:space="preserve"> </w:t>
      </w:r>
      <w:r w:rsidRPr="00FF35AA">
        <w:rPr>
          <w:rFonts w:ascii="Times New Roman" w:hAnsi="Times New Roman" w:cs="Times New Roman"/>
          <w:sz w:val="24"/>
          <w:szCs w:val="24"/>
        </w:rPr>
        <w:t>i podlegają ewidencji na koncie 013 „Pozostałe środki trwałe”;</w:t>
      </w:r>
    </w:p>
    <w:p w14:paraId="23F58384"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23DCC20"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części składowe zespołów komputerowych – niezależnie od wartości – zalicza się do podstawowych środków trwałych;</w:t>
      </w:r>
    </w:p>
    <w:p w14:paraId="1A02E08E" w14:textId="740B580C"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1F66ED79"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31FFB04C" w14:textId="376E595C" w:rsidR="009B5E24" w:rsidRP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391B2CB3" w14:textId="7FCFF3D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w.n.p. prowadzona jest przez:</w:t>
      </w:r>
    </w:p>
    <w:p w14:paraId="628EA7BE" w14:textId="126D76FD"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15C60043" w14:textId="54D8F43C"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6804D4D1" w14:textId="10FB1780" w:rsidR="009B5E24" w:rsidRPr="009B5E24" w:rsidRDefault="00FF35A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.n.p. o wartości początkowej równej lub niższej od 10 000 zł lub stanowiące pomoce dydaktyczne (lub ich nieodłączne części) zakupione ze środków bieżących – umarza się jednorazowo, spisując całą wartość w koszty w momencie wydania ich do używania.</w:t>
      </w:r>
    </w:p>
    <w:p w14:paraId="4F66EF10" w14:textId="77777777" w:rsidR="00FF35AA" w:rsidRDefault="00FF35A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9B5E24"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powyżej </w:t>
      </w:r>
    </w:p>
    <w:p w14:paraId="3ED06848" w14:textId="77777777" w:rsidR="00FF35AA"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w.n.p.</w:t>
      </w:r>
      <w:r w:rsidR="00FF35AA">
        <w:rPr>
          <w:rFonts w:ascii="Times New Roman" w:hAnsi="Times New Roman" w:cs="Times New Roman"/>
          <w:sz w:val="24"/>
          <w:szCs w:val="24"/>
        </w:rPr>
        <w:t>;</w:t>
      </w:r>
    </w:p>
    <w:p w14:paraId="7D9E8704"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2594EFBB" w14:textId="1EB52020"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odpisom amortyzacyjnym podlegają podstawowe środki trwałe ujęte na koncie 011 oraz w.n.p. ujęte na koncie 020, przy zastosowaniu stawek określonych  w  załączniku nr 1 do ustawy o podatku dochodowym od osób prawnych. W.n.p. o wartości początkowej powyżej 10 000 zł umarza się przy zastosowani</w:t>
      </w:r>
      <w:r w:rsidR="00F64B6A">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0CD847A5" w14:textId="78C2CF54"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 mogą być</w:t>
      </w:r>
      <w:r w:rsidR="00D17BE0">
        <w:rPr>
          <w:rFonts w:ascii="Times New Roman" w:hAnsi="Times New Roman" w:cs="Times New Roman"/>
          <w:sz w:val="24"/>
          <w:szCs w:val="24"/>
        </w:rPr>
        <w:t xml:space="preserve"> </w:t>
      </w:r>
      <w:r w:rsidRPr="00FF35AA">
        <w:rPr>
          <w:rFonts w:ascii="Times New Roman" w:hAnsi="Times New Roman" w:cs="Times New Roman"/>
          <w:sz w:val="24"/>
          <w:szCs w:val="24"/>
        </w:rPr>
        <w:t>umarzane:</w:t>
      </w:r>
    </w:p>
    <w:p w14:paraId="60413AF7" w14:textId="2408E47D"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środki dydaktyczne, służące do nauczania i wychowania w szkołach i placówkach oświatowych,</w:t>
      </w:r>
    </w:p>
    <w:p w14:paraId="5C825F1D"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438AC480"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1F93819E"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pozostałe środki trwałe (wyposażenie) oraz w.n.p. o wartości nieprzekraczającej wielkości ustalonej w przepisach o podatku dochodowym od osób prawnych, dla których odpisy amortyzacyjne są  uznawane w całości za koszty uzyskania przychodu w momencie wydania do używania;</w:t>
      </w:r>
    </w:p>
    <w:p w14:paraId="69527584"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 wykładziny, kinkiety, lampy, żyrandole, pokrowce, koce, kwietniki, stojaki na rowery, tablice informacyjne, wazony, donice, ładowarki, stroje okolicznościowe, części mundurów uczniowskich, tablice korkowe oraz gry i</w:t>
      </w:r>
      <w:r w:rsidR="00D17BE0">
        <w:rPr>
          <w:rFonts w:ascii="Times New Roman" w:hAnsi="Times New Roman" w:cs="Times New Roman"/>
          <w:sz w:val="24"/>
          <w:szCs w:val="24"/>
        </w:rPr>
        <w:t> </w:t>
      </w:r>
      <w:r w:rsidRPr="00D17BE0">
        <w:rPr>
          <w:rFonts w:ascii="Times New Roman" w:hAnsi="Times New Roman" w:cs="Times New Roman"/>
          <w:sz w:val="24"/>
          <w:szCs w:val="24"/>
        </w:rPr>
        <w:t>zabawki;</w:t>
      </w:r>
    </w:p>
    <w:p w14:paraId="0D22B217" w14:textId="4430752B" w:rsidR="00D17BE0" w:rsidRDefault="00D17BE0" w:rsidP="00BD0DA5">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r</w:t>
      </w:r>
      <w:r w:rsidR="009B5E24" w:rsidRPr="00D17BE0">
        <w:rPr>
          <w:rFonts w:ascii="Times New Roman" w:hAnsi="Times New Roman" w:cs="Times New Roman"/>
          <w:sz w:val="24"/>
          <w:szCs w:val="24"/>
        </w:rPr>
        <w:t>ezygnuje się z ewidencji wartościowej zapasów niektórych artykułów biurowych i</w:t>
      </w:r>
      <w:r>
        <w:rPr>
          <w:rFonts w:ascii="Times New Roman" w:hAnsi="Times New Roman" w:cs="Times New Roman"/>
          <w:sz w:val="24"/>
          <w:szCs w:val="24"/>
        </w:rPr>
        <w:t> </w:t>
      </w:r>
      <w:r w:rsidR="009B5E24" w:rsidRPr="00D17BE0">
        <w:rPr>
          <w:rFonts w:ascii="Times New Roman" w:hAnsi="Times New Roman" w:cs="Times New Roman"/>
          <w:sz w:val="24"/>
          <w:szCs w:val="24"/>
        </w:rPr>
        <w:t>sanitarnych</w:t>
      </w:r>
      <w:r>
        <w:rPr>
          <w:rFonts w:ascii="Times New Roman" w:hAnsi="Times New Roman" w:cs="Times New Roman"/>
          <w:sz w:val="24"/>
          <w:szCs w:val="24"/>
        </w:rPr>
        <w:t>;</w:t>
      </w:r>
    </w:p>
    <w:p w14:paraId="5E43509A" w14:textId="1F3E60BD"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Pr>
          <w:rFonts w:ascii="Times New Roman" w:hAnsi="Times New Roman" w:cs="Times New Roman"/>
          <w:sz w:val="24"/>
          <w:szCs w:val="24"/>
        </w:rPr>
        <w:t>c, nie podlegają rozliczeniom w </w:t>
      </w:r>
      <w:r w:rsidRPr="00D17BE0">
        <w:rPr>
          <w:rFonts w:ascii="Times New Roman" w:hAnsi="Times New Roman" w:cs="Times New Roman"/>
          <w:sz w:val="24"/>
          <w:szCs w:val="24"/>
        </w:rPr>
        <w:t>czasie (nie są ewidencjonowane jako rozliczenia międzyokresowe) ze względu na nieistotny wpływ na rzetelne i jasne przed</w:t>
      </w:r>
      <w:r w:rsidR="00F64B6A">
        <w:rPr>
          <w:rFonts w:ascii="Times New Roman" w:hAnsi="Times New Roman" w:cs="Times New Roman"/>
          <w:sz w:val="24"/>
          <w:szCs w:val="24"/>
        </w:rPr>
        <w:t>stawienie sytuacji majątkowej i </w:t>
      </w:r>
      <w:r w:rsidRPr="00D17BE0">
        <w:rPr>
          <w:rFonts w:ascii="Times New Roman" w:hAnsi="Times New Roman" w:cs="Times New Roman"/>
          <w:sz w:val="24"/>
          <w:szCs w:val="24"/>
        </w:rPr>
        <w:t xml:space="preserve">finansowej i wyniku finansowego; </w:t>
      </w:r>
    </w:p>
    <w:p w14:paraId="570DB3CE"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umarzanie i amortyzowanie środków trwałych i w.n.p. dokonywane jest jednorazowo za okres całego roku wg stawek wyszczególnionych w załączniku nr 1 do ustawy o podatku dochodowym od osób prawnych;</w:t>
      </w:r>
    </w:p>
    <w:p w14:paraId="3C3B3D2C" w14:textId="14F35B99" w:rsidR="009B5E24" w:rsidRP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dopuszcza się możliwość stosowania uproszczeń polegających na zbiorczym księgowaniu operacji gospodarczych;</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5A4CC7D4" w14:textId="63D5FDE9" w:rsidR="009B5E24" w:rsidRP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ewidencji na koncie 998;</w:t>
      </w:r>
    </w:p>
    <w:p w14:paraId="1F912FC7" w14:textId="550E1817" w:rsid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17120">
        <w:rPr>
          <w:rFonts w:ascii="Times New Roman" w:hAnsi="Times New Roman" w:cs="Times New Roman"/>
          <w:sz w:val="24"/>
          <w:szCs w:val="24"/>
        </w:rPr>
        <w:t>aangażowanie ewidencjonowane jest na bieżąco, w dacie podpisania dokumentu będącego podstawą zaangażowania wydatków,</w:t>
      </w:r>
    </w:p>
    <w:p w14:paraId="28D93EEC" w14:textId="71AF33BE" w:rsidR="009B5E24" w:rsidRP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417120">
        <w:rPr>
          <w:rFonts w:ascii="Times New Roman" w:hAnsi="Times New Roman" w:cs="Times New Roman"/>
          <w:sz w:val="24"/>
          <w:szCs w:val="24"/>
        </w:rPr>
        <w:t>okumenty będące podstawą zapisów zaangażowania w ewidencji księgowej;</w:t>
      </w:r>
    </w:p>
    <w:p w14:paraId="012866FA" w14:textId="77777777" w:rsidR="00E97E58"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lastRenderedPageBreak/>
        <w:t>akty notarialne,</w:t>
      </w:r>
    </w:p>
    <w:p w14:paraId="42493619"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59C21BFC"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77777777" w:rsidR="009B5E24" w:rsidRPr="005D3439" w:rsidRDefault="009B5E24" w:rsidP="00BD0DA5">
      <w:pPr>
        <w:spacing w:line="276" w:lineRule="auto"/>
        <w:jc w:val="both"/>
        <w:rPr>
          <w:rFonts w:ascii="Times New Roman" w:hAnsi="Times New Roman" w:cs="Times New Roman"/>
          <w:b/>
          <w:bCs/>
          <w:sz w:val="24"/>
          <w:szCs w:val="24"/>
        </w:rPr>
      </w:pPr>
      <w:r w:rsidRPr="005D3439">
        <w:rPr>
          <w:rFonts w:ascii="Times New Roman" w:hAnsi="Times New Roman" w:cs="Times New Roman"/>
          <w:b/>
          <w:bCs/>
          <w:sz w:val="24"/>
          <w:szCs w:val="24"/>
        </w:rPr>
        <w:t>13.</w:t>
      </w:r>
      <w:r w:rsidRPr="005D3439">
        <w:rPr>
          <w:rFonts w:ascii="Times New Roman" w:hAnsi="Times New Roman" w:cs="Times New Roman"/>
          <w:b/>
          <w:bCs/>
          <w:sz w:val="24"/>
          <w:szCs w:val="24"/>
        </w:rPr>
        <w:tab/>
        <w:t>Podatek VAT.</w:t>
      </w:r>
    </w:p>
    <w:p w14:paraId="59DB0DB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Jednostka nie jest podatnikiem VAT w zakresie zadań, które realizuje jako jednostka budżetowa. Natomiast obowiązek podatkowy występuje, co do czynności wykonywanych na podstawie zawartych umów cywilnoprawnych (np. najem, pozostałe umowy cywilnoprawne). </w:t>
      </w:r>
    </w:p>
    <w:p w14:paraId="43AAD637" w14:textId="740183D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obowiązek wykazania VAT należnego i naliczonego oraz prowadzenia VAT-owskich rejestrów sprzedaży i zakupu przez pracownika MZEAS. Powyższe rejestry należy przekazywać do Urzędu Miasta do 15-tego dnia każdego miesiąca celem terminowego sporządzania i przekazania deklaracji VAT-7</w:t>
      </w:r>
      <w:r w:rsidR="003B4125">
        <w:rPr>
          <w:rFonts w:ascii="Times New Roman" w:hAnsi="Times New Roman" w:cs="Times New Roman"/>
          <w:sz w:val="24"/>
          <w:szCs w:val="24"/>
        </w:rPr>
        <w:t>, a od 01.10.2020r. pliku JPK_V7M.</w:t>
      </w:r>
      <w:r w:rsidRPr="009B5E24">
        <w:rPr>
          <w:rFonts w:ascii="Times New Roman" w:hAnsi="Times New Roman" w:cs="Times New Roman"/>
          <w:sz w:val="24"/>
          <w:szCs w:val="24"/>
        </w:rPr>
        <w:t xml:space="preserve"> </w:t>
      </w:r>
    </w:p>
    <w:p w14:paraId="0BE8CB8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Podatek VAT należny wpłacany jest na wyodrębniony rachunek dochodów jednostki, ale nie stanowi jej dochodów, a podlega odprowadzeniu do Urzędu Miasta Inowrocławia. W tym celu  do 15 dnia każdego miesiąca środki pieniężne VAT podlegają przekazaniu do Urzędu Miasta celem sfinansowania zobowiązania wobec Urzędu Skarbowego z tytułu VAT.</w:t>
      </w:r>
    </w:p>
    <w:p w14:paraId="7CD5DCA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związku z dokonaną centralizacją VAT obowiązują zasady określone w zarządzeniu Prezydenta Miasta Nr 220/2016 z 23 listopada 2016 r. oraz Nr 225/2016 z 30 listopada 2016 r. ze zm.</w:t>
      </w:r>
    </w:p>
    <w:p w14:paraId="337FCDBD" w14:textId="77777777" w:rsidR="009B5E24" w:rsidRDefault="009B5E24" w:rsidP="00BD0DA5">
      <w:pPr>
        <w:spacing w:line="276" w:lineRule="auto"/>
        <w:jc w:val="both"/>
        <w:rPr>
          <w:rFonts w:ascii="Times New Roman" w:hAnsi="Times New Roman" w:cs="Times New Roman"/>
          <w:sz w:val="24"/>
          <w:szCs w:val="24"/>
        </w:rPr>
      </w:pP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048CE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Księgowania są następujące:</w:t>
      </w:r>
    </w:p>
    <w:p w14:paraId="4E9F1B97" w14:textId="77777777" w:rsidR="009B5E24" w:rsidRPr="009B5E24" w:rsidRDefault="009B5E24" w:rsidP="00BD0DA5">
      <w:pPr>
        <w:spacing w:line="276" w:lineRule="auto"/>
        <w:jc w:val="both"/>
        <w:rPr>
          <w:rFonts w:ascii="Times New Roman" w:hAnsi="Times New Roman" w:cs="Times New Roman"/>
          <w:sz w:val="24"/>
          <w:szCs w:val="24"/>
        </w:rPr>
      </w:pPr>
    </w:p>
    <w:p w14:paraId="48F2523C" w14:textId="53383EC5" w:rsidR="009B5E24" w:rsidRPr="005D3439" w:rsidRDefault="009B5E24" w:rsidP="00BD0DA5">
      <w:pPr>
        <w:pStyle w:val="Akapitzlist"/>
        <w:numPr>
          <w:ilvl w:val="0"/>
          <w:numId w:val="24"/>
        </w:numPr>
        <w:spacing w:line="276" w:lineRule="auto"/>
        <w:jc w:val="both"/>
        <w:rPr>
          <w:rFonts w:ascii="Times New Roman" w:hAnsi="Times New Roman" w:cs="Times New Roman"/>
          <w:sz w:val="24"/>
          <w:szCs w:val="24"/>
        </w:rPr>
      </w:pPr>
      <w:r w:rsidRPr="005D3439">
        <w:rPr>
          <w:rFonts w:ascii="Times New Roman" w:hAnsi="Times New Roman" w:cs="Times New Roman"/>
          <w:sz w:val="24"/>
          <w:szCs w:val="24"/>
        </w:rPr>
        <w:t>pobrane dochody dotyczące VAT:</w:t>
      </w:r>
    </w:p>
    <w:p w14:paraId="1349B49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p>
    <w:p w14:paraId="0DA1FB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p>
    <w:p w14:paraId="1A2D7332" w14:textId="77777777" w:rsidR="009B5E24" w:rsidRPr="009B5E24" w:rsidRDefault="009B5E24" w:rsidP="00BD0DA5">
      <w:pPr>
        <w:spacing w:line="276" w:lineRule="auto"/>
        <w:jc w:val="both"/>
        <w:rPr>
          <w:rFonts w:ascii="Times New Roman" w:hAnsi="Times New Roman" w:cs="Times New Roman"/>
          <w:sz w:val="24"/>
          <w:szCs w:val="24"/>
        </w:rPr>
      </w:pPr>
    </w:p>
    <w:p w14:paraId="5CA8FF15" w14:textId="619FA523" w:rsidR="009B5E24" w:rsidRPr="009B5E24" w:rsidRDefault="009B5E24" w:rsidP="00BD0DA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5A4EB22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 225 Rozrachunki z budżetami</w:t>
      </w:r>
    </w:p>
    <w:p w14:paraId="18146C3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 132 Wyodrębniony rachunek dochodów jednostek budżetowych</w:t>
      </w:r>
    </w:p>
    <w:p w14:paraId="6289283D" w14:textId="77777777" w:rsidR="009B5E24" w:rsidRPr="009B5E24" w:rsidRDefault="009B5E24" w:rsidP="00BD0DA5">
      <w:pPr>
        <w:spacing w:line="276" w:lineRule="auto"/>
        <w:jc w:val="both"/>
        <w:rPr>
          <w:rFonts w:ascii="Times New Roman" w:hAnsi="Times New Roman" w:cs="Times New Roman"/>
          <w:sz w:val="24"/>
          <w:szCs w:val="24"/>
        </w:rPr>
      </w:pPr>
    </w:p>
    <w:p w14:paraId="42D9A2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177DD5AB" w:rsidR="009B5E24" w:rsidRPr="005D3439" w:rsidRDefault="009B5E24" w:rsidP="00BD0DA5">
      <w:pPr>
        <w:spacing w:line="276" w:lineRule="auto"/>
        <w:jc w:val="both"/>
        <w:rPr>
          <w:rFonts w:ascii="Times New Roman" w:hAnsi="Times New Roman" w:cs="Times New Roman"/>
          <w:b/>
          <w:bCs/>
          <w:sz w:val="24"/>
          <w:szCs w:val="24"/>
        </w:rPr>
      </w:pPr>
      <w:r w:rsidRPr="005D3439">
        <w:rPr>
          <w:rFonts w:ascii="Times New Roman" w:hAnsi="Times New Roman" w:cs="Times New Roman"/>
          <w:b/>
          <w:bCs/>
          <w:sz w:val="24"/>
          <w:szCs w:val="24"/>
        </w:rPr>
        <w:t>14.</w:t>
      </w:r>
      <w:r w:rsidRPr="005D3439">
        <w:rPr>
          <w:rFonts w:ascii="Times New Roman" w:hAnsi="Times New Roman" w:cs="Times New Roman"/>
          <w:b/>
          <w:bCs/>
          <w:sz w:val="24"/>
          <w:szCs w:val="24"/>
        </w:rPr>
        <w:tab/>
        <w:t xml:space="preserve">Inwentaryzacja </w:t>
      </w:r>
    </w:p>
    <w:p w14:paraId="4252B62E" w14:textId="3E91F3C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Pr>
          <w:rFonts w:ascii="Times New Roman" w:hAnsi="Times New Roman" w:cs="Times New Roman"/>
          <w:sz w:val="24"/>
          <w:szCs w:val="24"/>
        </w:rPr>
        <w:t> </w:t>
      </w:r>
      <w:r w:rsidRPr="009B5E24">
        <w:rPr>
          <w:rFonts w:ascii="Times New Roman" w:hAnsi="Times New Roman" w:cs="Times New Roman"/>
          <w:sz w:val="24"/>
          <w:szCs w:val="24"/>
        </w:rPr>
        <w:t>wyłączeniem należności publicznoprawnych przeprowadza się w IV kwartale każdego roku.</w:t>
      </w:r>
    </w:p>
    <w:p w14:paraId="7A23CDA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Inwentaryzację środków trwałych, maszyn, urządzeń znajdujących się na terenie strzeżonym przeprowadza się raz na cztery lata. </w:t>
      </w:r>
    </w:p>
    <w:p w14:paraId="4A94D8A1" w14:textId="115AC7B9"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Obligatoryjne terminy i częstotliwość inwentaryzacji określa art. 26 ust. 3 ustawy o</w:t>
      </w:r>
      <w:r w:rsidR="00750345">
        <w:rPr>
          <w:rFonts w:ascii="Times New Roman" w:hAnsi="Times New Roman" w:cs="Times New Roman"/>
          <w:sz w:val="24"/>
          <w:szCs w:val="24"/>
        </w:rPr>
        <w:t> </w:t>
      </w:r>
      <w:r w:rsidRPr="009B5E24">
        <w:rPr>
          <w:rFonts w:ascii="Times New Roman" w:hAnsi="Times New Roman" w:cs="Times New Roman"/>
          <w:sz w:val="24"/>
          <w:szCs w:val="24"/>
        </w:rPr>
        <w:t>rachunkowości.</w:t>
      </w:r>
    </w:p>
    <w:p w14:paraId="4B47806A" w14:textId="4E0B248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Niezależnie od obligatoryjnych momentów inwentaryzacji, które wyznaczają przepisy, w</w:t>
      </w:r>
      <w:r w:rsidR="00750345">
        <w:rPr>
          <w:rFonts w:ascii="Times New Roman" w:hAnsi="Times New Roman" w:cs="Times New Roman"/>
          <w:sz w:val="24"/>
          <w:szCs w:val="24"/>
        </w:rPr>
        <w:t> </w:t>
      </w:r>
      <w:r w:rsidRPr="009B5E24">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Pr>
          <w:rFonts w:ascii="Times New Roman" w:hAnsi="Times New Roman" w:cs="Times New Roman"/>
          <w:sz w:val="24"/>
          <w:szCs w:val="24"/>
        </w:rPr>
        <w:t xml:space="preserve"> </w:t>
      </w:r>
      <w:r w:rsidRPr="009B5E24">
        <w:rPr>
          <w:rFonts w:ascii="Times New Roman" w:hAnsi="Times New Roman" w:cs="Times New Roman"/>
          <w:sz w:val="24"/>
          <w:szCs w:val="24"/>
        </w:rPr>
        <w:t>w stanie składników majątkowych, oraz żądania innych organów (urząd skarbowy, sąd, policja itp.).</w:t>
      </w:r>
    </w:p>
    <w:p w14:paraId="111639E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Prawidłowe przeprowadzenie inwentaryzacji pozwala na weryfikację i aktualizację danych ujętych w ewidencji księgowej oraz na wycenę majątku. Wpływa zatem na wynik finansowy oraz na poprawność danych wykazywanych w sprawozdawczości finansowej i budżetowej.</w:t>
      </w:r>
    </w:p>
    <w:p w14:paraId="1CB71846" w14:textId="77777777" w:rsidR="009B5E24" w:rsidRPr="009B5E24" w:rsidRDefault="009B5E24" w:rsidP="00BD0DA5">
      <w:pPr>
        <w:spacing w:line="276" w:lineRule="auto"/>
        <w:jc w:val="both"/>
        <w:rPr>
          <w:rFonts w:ascii="Times New Roman" w:hAnsi="Times New Roman" w:cs="Times New Roman"/>
          <w:sz w:val="24"/>
          <w:szCs w:val="24"/>
        </w:rPr>
      </w:pPr>
    </w:p>
    <w:p w14:paraId="07469AA7" w14:textId="1C8425EF"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15.</w:t>
      </w:r>
      <w:r w:rsidRPr="00750345">
        <w:rPr>
          <w:rFonts w:ascii="Times New Roman" w:hAnsi="Times New Roman" w:cs="Times New Roman"/>
          <w:b/>
          <w:bCs/>
          <w:sz w:val="24"/>
          <w:szCs w:val="24"/>
        </w:rPr>
        <w:tab/>
        <w:t>Zaliczki</w:t>
      </w:r>
    </w:p>
    <w:p w14:paraId="3AA79F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indywidualną sumę potrzebnej zaliczki ustala kierownik jednostki;</w:t>
      </w:r>
    </w:p>
    <w:p w14:paraId="438199AC" w14:textId="77777777" w:rsid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zaliczkobiorcę „Rozliczenia zaliczki”; </w:t>
      </w:r>
    </w:p>
    <w:p w14:paraId="5DDD4D3E" w14:textId="39BA84B3" w:rsidR="009B5E24" w:rsidRP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 a w szczególnie uzasadnionych przypadkach 30 dni) podlega ona potrąceniu z przysługującego wynagrodzenia.</w:t>
      </w:r>
    </w:p>
    <w:p w14:paraId="0DE93112" w14:textId="77777777"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16.</w:t>
      </w:r>
      <w:r w:rsidRPr="00750345">
        <w:rPr>
          <w:rFonts w:ascii="Times New Roman" w:hAnsi="Times New Roman" w:cs="Times New Roman"/>
          <w:b/>
          <w:bCs/>
          <w:sz w:val="24"/>
          <w:szCs w:val="24"/>
        </w:rPr>
        <w:tab/>
        <w:t>Podzielona płatność</w:t>
      </w:r>
    </w:p>
    <w:p w14:paraId="460C4872" w14:textId="0C9A11CB" w:rsidR="009B5E24" w:rsidRP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celu wyeliminowania sytuacji sprzyjających powstawaniu nieprawidłowości w</w:t>
      </w:r>
      <w:r w:rsidR="005476A9">
        <w:rPr>
          <w:rFonts w:ascii="Times New Roman" w:hAnsi="Times New Roman" w:cs="Times New Roman"/>
          <w:sz w:val="24"/>
          <w:szCs w:val="24"/>
        </w:rPr>
        <w:t> </w:t>
      </w:r>
      <w:r w:rsidRPr="00750345">
        <w:rPr>
          <w:rFonts w:ascii="Times New Roman" w:hAnsi="Times New Roman" w:cs="Times New Roman"/>
          <w:sz w:val="24"/>
          <w:szCs w:val="24"/>
        </w:rPr>
        <w:t xml:space="preserve">zakresie fakturowania czynności niedokonanych, pozornych prze istniejące podmioty, ujmowaniu w fakturach kwot niezgodnych z rzeczywistością, wprowadza się możliwość dokonywania płatności metodą split payment na zasadach określonych ustawą z 11 marca 2004 r. o podatku od towarów </w:t>
      </w:r>
      <w:r w:rsidR="00F64B6A">
        <w:rPr>
          <w:rFonts w:ascii="Times New Roman" w:hAnsi="Times New Roman" w:cs="Times New Roman"/>
          <w:sz w:val="24"/>
          <w:szCs w:val="24"/>
        </w:rPr>
        <w:t>i usług (Dz.U. 2020, poz. 106 z </w:t>
      </w:r>
      <w:r w:rsidRPr="00750345">
        <w:rPr>
          <w:rFonts w:ascii="Times New Roman" w:hAnsi="Times New Roman" w:cs="Times New Roman"/>
          <w:sz w:val="24"/>
          <w:szCs w:val="24"/>
        </w:rPr>
        <w:t>późn. zm.).</w:t>
      </w:r>
    </w:p>
    <w:p w14:paraId="60440D23" w14:textId="686955B0" w:rsidR="009B5E24" w:rsidRPr="009B5E24"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Pr="009B5E24" w:rsidRDefault="009B5E24" w:rsidP="00BD0DA5">
      <w:pPr>
        <w:spacing w:line="276" w:lineRule="auto"/>
        <w:jc w:val="both"/>
        <w:rPr>
          <w:rFonts w:ascii="Times New Roman" w:hAnsi="Times New Roman" w:cs="Times New Roman"/>
          <w:sz w:val="24"/>
          <w:szCs w:val="24"/>
        </w:rPr>
      </w:pPr>
    </w:p>
    <w:p w14:paraId="1EB9EFD0" w14:textId="24818FEA"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17.</w:t>
      </w:r>
      <w:r w:rsidRPr="00750345">
        <w:rPr>
          <w:rFonts w:ascii="Times New Roman" w:hAnsi="Times New Roman" w:cs="Times New Roman"/>
          <w:b/>
          <w:bCs/>
          <w:sz w:val="24"/>
          <w:szCs w:val="24"/>
        </w:rPr>
        <w:tab/>
        <w:t>Ustalenie wyniku finansowego</w:t>
      </w:r>
    </w:p>
    <w:p w14:paraId="0571F2D0" w14:textId="77777777" w:rsid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wynik ustalany jest zgodnie z wariantem porównawczym rachunku zysków i strat na koncie 860 wynik finansowy</w:t>
      </w:r>
      <w:r>
        <w:rPr>
          <w:rFonts w:ascii="Times New Roman" w:hAnsi="Times New Roman" w:cs="Times New Roman"/>
          <w:sz w:val="24"/>
          <w:szCs w:val="24"/>
        </w:rPr>
        <w:t>;</w:t>
      </w:r>
    </w:p>
    <w:p w14:paraId="22DA2EFF" w14:textId="77777777" w:rsid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750345">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Pr>
          <w:rFonts w:ascii="Times New Roman" w:hAnsi="Times New Roman" w:cs="Times New Roman"/>
          <w:sz w:val="24"/>
          <w:szCs w:val="24"/>
        </w:rPr>
        <w:t>;</w:t>
      </w:r>
    </w:p>
    <w:p w14:paraId="08180D9A" w14:textId="527B7D12" w:rsidR="009B5E24" w:rsidRP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750345">
        <w:rPr>
          <w:rFonts w:ascii="Times New Roman" w:hAnsi="Times New Roman" w:cs="Times New Roman"/>
          <w:sz w:val="24"/>
          <w:szCs w:val="24"/>
        </w:rPr>
        <w:t>od datą 31 grudnia przeksięgowuje się na konto 860 „Wynik finansowy” salda następujących kont:</w:t>
      </w:r>
    </w:p>
    <w:p w14:paraId="1DCE733C" w14:textId="300BB035" w:rsidR="009B5E24" w:rsidRPr="00750345" w:rsidRDefault="009B5E24" w:rsidP="00BD0DA5">
      <w:pPr>
        <w:pStyle w:val="Akapitzlist"/>
        <w:numPr>
          <w:ilvl w:val="0"/>
          <w:numId w:val="25"/>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p>
    <w:p w14:paraId="142797AC" w14:textId="12A4547E" w:rsidR="009B5E24" w:rsidRPr="00750345" w:rsidRDefault="009B5E24" w:rsidP="00BD0DA5">
      <w:pPr>
        <w:pStyle w:val="Akapitzlist"/>
        <w:numPr>
          <w:ilvl w:val="0"/>
          <w:numId w:val="25"/>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p>
    <w:p w14:paraId="4DF250EA" w14:textId="5E5DB8BE"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416FA05" w14:textId="357B4F8E" w:rsidR="009B5E24" w:rsidRPr="009B5E24"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608289ED" w14:textId="77777777" w:rsidR="009B5E24" w:rsidRPr="009B5E24" w:rsidRDefault="009B5E24" w:rsidP="00BD0DA5">
      <w:pPr>
        <w:spacing w:line="276" w:lineRule="auto"/>
        <w:jc w:val="both"/>
        <w:rPr>
          <w:rFonts w:ascii="Times New Roman" w:hAnsi="Times New Roman" w:cs="Times New Roman"/>
          <w:sz w:val="24"/>
          <w:szCs w:val="24"/>
        </w:rPr>
      </w:pPr>
    </w:p>
    <w:p w14:paraId="0AF229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Błędy nieistotne koryguję się w księgach roku następnego.</w:t>
      </w:r>
    </w:p>
    <w:p w14:paraId="62F2ABE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56A7CA75"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18.</w:t>
      </w:r>
      <w:r w:rsidRPr="00750345">
        <w:rPr>
          <w:rFonts w:ascii="Times New Roman" w:hAnsi="Times New Roman" w:cs="Times New Roman"/>
          <w:b/>
          <w:bCs/>
          <w:sz w:val="24"/>
          <w:szCs w:val="24"/>
        </w:rPr>
        <w:tab/>
        <w:t>Ochrona danych  odbywa się poprzez:</w:t>
      </w:r>
    </w:p>
    <w:p w14:paraId="736AEF2D"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5610C0FA"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przechowywanie danych w szafach uniemożliwiających do nich dostęp osób trzecich;</w:t>
      </w:r>
    </w:p>
    <w:p w14:paraId="447F8B97"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4D2400E8"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wprowadzenie programów antywirusowych;</w:t>
      </w:r>
    </w:p>
    <w:p w14:paraId="16CB19FB" w14:textId="1DD79EA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Pr>
          <w:rFonts w:ascii="Times New Roman" w:hAnsi="Times New Roman" w:cs="Times New Roman"/>
          <w:sz w:val="24"/>
          <w:szCs w:val="24"/>
        </w:rPr>
        <w:t>nanie kopii zapasowych danych i </w:t>
      </w:r>
      <w:r w:rsidRPr="00750345">
        <w:rPr>
          <w:rFonts w:ascii="Times New Roman" w:hAnsi="Times New Roman" w:cs="Times New Roman"/>
          <w:sz w:val="24"/>
          <w:szCs w:val="24"/>
        </w:rPr>
        <w:t>narzędzi programowych;</w:t>
      </w:r>
    </w:p>
    <w:p w14:paraId="0FF34E6E"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zakresy czynności uwzględniają zakres odpowiedzialności za bezpieczeństwo danych osobowych;</w:t>
      </w:r>
    </w:p>
    <w:p w14:paraId="0AFBA1C4"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wdrożenie instrukcji zarzadzania systemem informatycznym i wyznaczenie administratora bezpieczeństwa informacji;</w:t>
      </w:r>
    </w:p>
    <w:p w14:paraId="26979411" w14:textId="3CFB2D0A" w:rsidR="009B5E24" w:rsidRP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20180873" w14:textId="77777777" w:rsidR="009B5E24" w:rsidRPr="009B5E24" w:rsidRDefault="009B5E24" w:rsidP="00BD0DA5">
      <w:pPr>
        <w:spacing w:line="276" w:lineRule="auto"/>
        <w:jc w:val="both"/>
        <w:rPr>
          <w:rFonts w:ascii="Times New Roman" w:hAnsi="Times New Roman" w:cs="Times New Roman"/>
          <w:sz w:val="24"/>
          <w:szCs w:val="24"/>
        </w:rPr>
      </w:pPr>
    </w:p>
    <w:p w14:paraId="5508E710" w14:textId="77777777"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19.</w:t>
      </w:r>
      <w:r w:rsidRPr="00750345">
        <w:rPr>
          <w:rFonts w:ascii="Times New Roman" w:hAnsi="Times New Roman" w:cs="Times New Roman"/>
          <w:b/>
          <w:bCs/>
          <w:sz w:val="24"/>
          <w:szCs w:val="24"/>
        </w:rPr>
        <w:tab/>
        <w:t xml:space="preserve"> Przetwarzanie danych</w:t>
      </w:r>
    </w:p>
    <w:p w14:paraId="6338D2D6" w14:textId="7719E9F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3258B4A0" w14:textId="6B40B023"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programów komputerowych dopuszczonych do stosowania w systemie przetwarzania danych i ich charakterystyka.</w:t>
      </w:r>
    </w:p>
    <w:p w14:paraId="2BB228A0" w14:textId="77777777" w:rsidR="005476A9" w:rsidRPr="009B5E24" w:rsidRDefault="005476A9" w:rsidP="00BD0DA5">
      <w:pPr>
        <w:spacing w:line="276" w:lineRule="auto"/>
        <w:jc w:val="both"/>
        <w:rPr>
          <w:rFonts w:ascii="Times New Roman" w:hAnsi="Times New Roman" w:cs="Times New Roman"/>
          <w:sz w:val="24"/>
          <w:szCs w:val="24"/>
        </w:rPr>
      </w:pPr>
    </w:p>
    <w:p w14:paraId="3B743E2F" w14:textId="484710D1"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Wykaz zbiorów tworzących księgi rachunkowe na nośnikach elektronicznych</w:t>
      </w:r>
      <w:r w:rsidR="005476A9" w:rsidRPr="005476A9">
        <w:rPr>
          <w:rFonts w:ascii="Times New Roman" w:hAnsi="Times New Roman" w:cs="Times New Roman"/>
          <w:b/>
          <w:bCs/>
          <w:sz w:val="24"/>
          <w:szCs w:val="24"/>
        </w:rPr>
        <w:t>.</w:t>
      </w:r>
    </w:p>
    <w:p w14:paraId="75826B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BD0DA5">
      <w:pPr>
        <w:pStyle w:val="Akapitzlist"/>
        <w:numPr>
          <w:ilvl w:val="0"/>
          <w:numId w:val="24"/>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r w:rsidR="00F64B6A">
        <w:rPr>
          <w:rFonts w:ascii="Times New Roman" w:hAnsi="Times New Roman" w:cs="Times New Roman"/>
          <w:sz w:val="24"/>
          <w:szCs w:val="24"/>
        </w:rPr>
        <w:t>Vulcan Sp. z o.o. z Wrocławia –</w:t>
      </w:r>
      <w:r w:rsidRPr="00F9390B">
        <w:rPr>
          <w:rFonts w:ascii="Times New Roman" w:hAnsi="Times New Roman" w:cs="Times New Roman"/>
          <w:sz w:val="24"/>
          <w:szCs w:val="24"/>
        </w:rPr>
        <w:t>uruchomiony w I 2020 r</w:t>
      </w:r>
    </w:p>
    <w:p w14:paraId="2AF28FE1" w14:textId="4B19B9B4" w:rsidR="009B5E24" w:rsidRPr="00F9390B" w:rsidRDefault="009B5E24" w:rsidP="00BD0DA5">
      <w:pPr>
        <w:pStyle w:val="Akapitzlist"/>
        <w:numPr>
          <w:ilvl w:val="0"/>
          <w:numId w:val="24"/>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Płace VULCAN–dostawca Vulcan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36866389" w14:textId="77777777" w:rsidR="009B5E24" w:rsidRPr="009B5E24" w:rsidRDefault="009B5E24" w:rsidP="00BD0DA5">
      <w:pPr>
        <w:spacing w:line="276" w:lineRule="auto"/>
        <w:jc w:val="both"/>
        <w:rPr>
          <w:rFonts w:ascii="Times New Roman" w:hAnsi="Times New Roman" w:cs="Times New Roman"/>
          <w:sz w:val="24"/>
          <w:szCs w:val="24"/>
        </w:rPr>
      </w:pPr>
    </w:p>
    <w:p w14:paraId="5CA54C78" w14:textId="34F6023D"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lastRenderedPageBreak/>
        <w:t>Lokalizacja zbiorów tworzących księgi rachunkowe na nośnikach elektronicznych</w:t>
      </w:r>
      <w:r w:rsidR="005476A9" w:rsidRPr="005476A9">
        <w:rPr>
          <w:rFonts w:ascii="Times New Roman" w:hAnsi="Times New Roman" w:cs="Times New Roman"/>
          <w:b/>
          <w:bCs/>
          <w:sz w:val="24"/>
          <w:szCs w:val="24"/>
        </w:rPr>
        <w:t>.</w:t>
      </w:r>
    </w:p>
    <w:p w14:paraId="4C737F4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Vulcan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BD0DA5">
      <w:pPr>
        <w:pStyle w:val="Akapitzlist"/>
        <w:numPr>
          <w:ilvl w:val="0"/>
          <w:numId w:val="2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BD0DA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Finanse Vulcan</w:t>
      </w:r>
    </w:p>
    <w:p w14:paraId="7567AA60"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bookmarkStart w:id="1" w:name="_Hlk57460523"/>
      <w:r>
        <w:rPr>
          <w:rFonts w:ascii="Times New Roman" w:hAnsi="Times New Roman" w:cs="Times New Roman"/>
          <w:sz w:val="24"/>
          <w:szCs w:val="24"/>
        </w:rPr>
        <w:t>Nazwa zbioru: Baza danych systemu Finanse Vulcan;</w:t>
      </w:r>
    </w:p>
    <w:p w14:paraId="6B912103"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Płace Vulcan;</w:t>
      </w:r>
    </w:p>
    <w:p w14:paraId="300023DD" w14:textId="0389665F"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1"/>
    <w:p w14:paraId="3C5601BB" w14:textId="32C87339" w:rsidR="004761FC" w:rsidRDefault="004761FC" w:rsidP="00BD0DA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Płace Vulcan</w:t>
      </w:r>
    </w:p>
    <w:p w14:paraId="6868F8AF" w14:textId="69E5DECF"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Baza danych systemu Płace Vulcan;</w:t>
      </w:r>
    </w:p>
    <w:p w14:paraId="1E1943B1"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Finanse Vulcan;</w:t>
      </w:r>
    </w:p>
    <w:p w14:paraId="13D8E9AE"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Pr="009B5E24"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Lokalizacja: Serwery dostawcy systemu. </w:t>
      </w:r>
    </w:p>
    <w:p w14:paraId="21B263D4" w14:textId="536922D9" w:rsidR="009B5E24" w:rsidRDefault="009B5E24" w:rsidP="00BD0DA5">
      <w:pPr>
        <w:spacing w:line="276" w:lineRule="auto"/>
        <w:jc w:val="both"/>
        <w:rPr>
          <w:rFonts w:ascii="Times New Roman" w:hAnsi="Times New Roman" w:cs="Times New Roman"/>
          <w:sz w:val="24"/>
          <w:szCs w:val="24"/>
        </w:rPr>
      </w:pPr>
    </w:p>
    <w:p w14:paraId="036AC32A" w14:textId="77777777" w:rsidR="005476A9" w:rsidRPr="009B5E24" w:rsidRDefault="005476A9" w:rsidP="00BD0DA5">
      <w:pPr>
        <w:spacing w:line="276" w:lineRule="auto"/>
        <w:jc w:val="both"/>
        <w:rPr>
          <w:rFonts w:ascii="Times New Roman" w:hAnsi="Times New Roman" w:cs="Times New Roman"/>
          <w:sz w:val="24"/>
          <w:szCs w:val="24"/>
        </w:rPr>
      </w:pPr>
    </w:p>
    <w:p w14:paraId="1BCA8917" w14:textId="7EF0F38A" w:rsidR="009B5E24"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Charakterystyka programów przetwarzających dane księgowe</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System Finanse VULCAN służy do:</w:t>
      </w:r>
    </w:p>
    <w:p w14:paraId="57C03F8C" w14:textId="6B3073FA"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lastRenderedPageBreak/>
        <w:t>tworzenia sprawozdań budżetowych i finansowych;</w:t>
      </w:r>
    </w:p>
    <w:p w14:paraId="69638A49" w14:textId="07E79263" w:rsidR="009B5E24" w:rsidRP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63898BE9" w14:textId="0A67435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2EC94595" w14:textId="4856237B" w:rsidR="009B5E24" w:rsidRDefault="009B5E24" w:rsidP="00BD0DA5">
      <w:pPr>
        <w:spacing w:line="276" w:lineRule="auto"/>
        <w:jc w:val="both"/>
        <w:rPr>
          <w:rFonts w:ascii="Times New Roman" w:hAnsi="Times New Roman" w:cs="Times New Roman"/>
          <w:sz w:val="24"/>
          <w:szCs w:val="24"/>
        </w:rPr>
      </w:pPr>
    </w:p>
    <w:p w14:paraId="2B9C05F8" w14:textId="1B9DBE3B" w:rsidR="00BD0DA5" w:rsidRDefault="00BD0DA5" w:rsidP="00BD0DA5">
      <w:pPr>
        <w:spacing w:line="276" w:lineRule="auto"/>
        <w:jc w:val="both"/>
        <w:rPr>
          <w:rFonts w:ascii="Times New Roman" w:hAnsi="Times New Roman" w:cs="Times New Roman"/>
          <w:sz w:val="24"/>
          <w:szCs w:val="24"/>
        </w:rPr>
      </w:pPr>
    </w:p>
    <w:p w14:paraId="0D97ADAF" w14:textId="0EEEDAA9" w:rsidR="00BD0DA5" w:rsidRDefault="00BD0DA5" w:rsidP="00BD0DA5">
      <w:pPr>
        <w:spacing w:line="276" w:lineRule="auto"/>
        <w:jc w:val="both"/>
        <w:rPr>
          <w:rFonts w:ascii="Times New Roman" w:hAnsi="Times New Roman" w:cs="Times New Roman"/>
          <w:sz w:val="24"/>
          <w:szCs w:val="24"/>
        </w:rPr>
      </w:pPr>
    </w:p>
    <w:p w14:paraId="7C472ED4" w14:textId="77777777" w:rsidR="00BD0DA5" w:rsidRPr="009B5E24" w:rsidRDefault="00BD0DA5" w:rsidP="00BD0DA5">
      <w:pPr>
        <w:spacing w:line="276" w:lineRule="auto"/>
        <w:jc w:val="both"/>
        <w:rPr>
          <w:rFonts w:ascii="Times New Roman" w:hAnsi="Times New Roman" w:cs="Times New Roman"/>
          <w:sz w:val="24"/>
          <w:szCs w:val="24"/>
        </w:rPr>
      </w:pPr>
    </w:p>
    <w:p w14:paraId="7A7F3A18" w14:textId="6A07D73F" w:rsidR="009B5E24" w:rsidRPr="005476A9" w:rsidRDefault="009B5E24" w:rsidP="00BD0DA5">
      <w:pPr>
        <w:pStyle w:val="Akapitzlist"/>
        <w:numPr>
          <w:ilvl w:val="0"/>
          <w:numId w:val="20"/>
        </w:numPr>
        <w:spacing w:line="276" w:lineRule="auto"/>
        <w:jc w:val="both"/>
        <w:rPr>
          <w:rFonts w:ascii="Times New Roman" w:hAnsi="Times New Roman" w:cs="Times New Roman"/>
          <w:sz w:val="24"/>
          <w:szCs w:val="24"/>
        </w:rPr>
      </w:pPr>
      <w:r w:rsidRPr="005476A9">
        <w:rPr>
          <w:rFonts w:ascii="Times New Roman" w:hAnsi="Times New Roman" w:cs="Times New Roman"/>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53E5B935" w14:textId="79DA001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2EFF19F2" w14:textId="77777777" w:rsidR="009B5E24" w:rsidRPr="009B5E24" w:rsidRDefault="009B5E24" w:rsidP="00BD0DA5">
      <w:pPr>
        <w:spacing w:line="276" w:lineRule="auto"/>
        <w:jc w:val="both"/>
        <w:rPr>
          <w:rFonts w:ascii="Times New Roman" w:hAnsi="Times New Roman" w:cs="Times New Roman"/>
          <w:sz w:val="24"/>
          <w:szCs w:val="24"/>
        </w:rPr>
      </w:pPr>
    </w:p>
    <w:p w14:paraId="0B931DC7" w14:textId="77777777" w:rsidR="009B5E24" w:rsidRPr="009B5E24" w:rsidRDefault="009B5E24" w:rsidP="00BD0DA5">
      <w:pPr>
        <w:spacing w:line="276" w:lineRule="auto"/>
        <w:jc w:val="both"/>
        <w:rPr>
          <w:rFonts w:ascii="Times New Roman" w:hAnsi="Times New Roman" w:cs="Times New Roman"/>
          <w:sz w:val="24"/>
          <w:szCs w:val="24"/>
        </w:rPr>
      </w:pPr>
    </w:p>
    <w:p w14:paraId="25EA0C00" w14:textId="5A657394" w:rsidR="009B5E24" w:rsidRPr="005476A9" w:rsidRDefault="009B5E24" w:rsidP="00BD0DA5">
      <w:pPr>
        <w:pStyle w:val="Akapitzlist"/>
        <w:numPr>
          <w:ilvl w:val="0"/>
          <w:numId w:val="20"/>
        </w:numPr>
        <w:spacing w:line="276" w:lineRule="auto"/>
        <w:jc w:val="both"/>
        <w:rPr>
          <w:rFonts w:ascii="Times New Roman" w:hAnsi="Times New Roman" w:cs="Times New Roman"/>
          <w:sz w:val="24"/>
          <w:szCs w:val="24"/>
        </w:rPr>
      </w:pPr>
      <w:r w:rsidRPr="005476A9">
        <w:rPr>
          <w:rFonts w:ascii="Times New Roman" w:hAnsi="Times New Roman" w:cs="Times New Roman"/>
          <w:sz w:val="24"/>
          <w:szCs w:val="24"/>
        </w:rPr>
        <w:t>Komputerowe wydruki danych</w:t>
      </w:r>
    </w:p>
    <w:p w14:paraId="1EDB120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5DA0D5F2" w14:textId="4086E396"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p>
    <w:p w14:paraId="7E3C7FE0" w14:textId="77777777" w:rsidR="009B5E24" w:rsidRPr="009B5E24" w:rsidRDefault="009B5E24" w:rsidP="00BD0DA5">
      <w:pPr>
        <w:spacing w:line="276" w:lineRule="auto"/>
        <w:jc w:val="both"/>
        <w:rPr>
          <w:rFonts w:ascii="Times New Roman" w:hAnsi="Times New Roman" w:cs="Times New Roman"/>
          <w:sz w:val="24"/>
          <w:szCs w:val="24"/>
        </w:rPr>
      </w:pPr>
    </w:p>
    <w:p w14:paraId="23FD1D95" w14:textId="77777777" w:rsidR="003120C8"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System Płace VULCAN służy do:</w:t>
      </w:r>
    </w:p>
    <w:p w14:paraId="29529A9A"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676F736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47F6310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345EAA3C"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2F7C577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sidR="003120C8">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0DD3CE1E"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32CB2F44"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1FD0CEB5" w14:textId="48F3247A" w:rsidR="009B5E24" w:rsidRP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2896B359" w14:textId="77777777" w:rsidR="009B5E24" w:rsidRPr="009B5E24" w:rsidRDefault="009B5E24" w:rsidP="00BD0DA5">
      <w:pPr>
        <w:spacing w:line="276" w:lineRule="auto"/>
        <w:jc w:val="both"/>
        <w:rPr>
          <w:rFonts w:ascii="Times New Roman" w:hAnsi="Times New Roman" w:cs="Times New Roman"/>
          <w:sz w:val="24"/>
          <w:szCs w:val="24"/>
        </w:rPr>
      </w:pPr>
    </w:p>
    <w:p w14:paraId="386B1CA6" w14:textId="33E05AAE"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Zasady ochrony danych i ich zbiorów generowane z komputerowych programów przetwarzania</w:t>
      </w:r>
      <w:r w:rsidR="005476A9">
        <w:rPr>
          <w:rFonts w:ascii="Times New Roman" w:hAnsi="Times New Roman" w:cs="Times New Roman"/>
          <w:b/>
          <w:bCs/>
          <w:sz w:val="24"/>
          <w:szCs w:val="24"/>
        </w:rPr>
        <w:t>.</w:t>
      </w:r>
    </w:p>
    <w:p w14:paraId="0036D27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BD0DA5">
      <w:pPr>
        <w:spacing w:line="276" w:lineRule="auto"/>
        <w:jc w:val="both"/>
        <w:rPr>
          <w:rFonts w:ascii="Times New Roman" w:hAnsi="Times New Roman" w:cs="Times New Roman"/>
          <w:sz w:val="24"/>
          <w:szCs w:val="24"/>
        </w:rPr>
      </w:pPr>
    </w:p>
    <w:p w14:paraId="2A7D598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Mając na względzie powyższe zagrożenia zostały zawarte umowy licencyjne oraz umowa przetwarzania danych osobowych pomiędzy MZEAS a firmą Vulcan Sp. z o.o. regulujące 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A8564A6" w14:textId="6A73248C" w:rsidR="00DA398A" w:rsidRDefault="00DA398A" w:rsidP="00BD0DA5">
      <w:pPr>
        <w:spacing w:line="276" w:lineRule="auto"/>
        <w:jc w:val="both"/>
        <w:rPr>
          <w:rFonts w:ascii="Times New Roman" w:hAnsi="Times New Roman" w:cs="Times New Roman"/>
          <w:sz w:val="24"/>
          <w:szCs w:val="24"/>
        </w:rPr>
      </w:pPr>
    </w:p>
    <w:p w14:paraId="5E4DEC98" w14:textId="6E7A65F9" w:rsidR="00DA398A" w:rsidRDefault="00DA398A" w:rsidP="00BD0DA5">
      <w:pPr>
        <w:spacing w:line="276" w:lineRule="auto"/>
        <w:jc w:val="both"/>
        <w:rPr>
          <w:rFonts w:ascii="Times New Roman" w:hAnsi="Times New Roman" w:cs="Times New Roman"/>
          <w:sz w:val="24"/>
          <w:szCs w:val="24"/>
        </w:rPr>
      </w:pPr>
    </w:p>
    <w:p w14:paraId="1A906692" w14:textId="30BB9F4B" w:rsidR="00DA398A" w:rsidRDefault="00DA398A" w:rsidP="00BD0DA5">
      <w:pPr>
        <w:spacing w:line="276" w:lineRule="auto"/>
        <w:jc w:val="both"/>
        <w:rPr>
          <w:rFonts w:ascii="Times New Roman" w:hAnsi="Times New Roman" w:cs="Times New Roman"/>
          <w:sz w:val="24"/>
          <w:szCs w:val="24"/>
        </w:rPr>
      </w:pPr>
    </w:p>
    <w:p w14:paraId="659AF960" w14:textId="77777777" w:rsidR="00F64B6A" w:rsidRDefault="00F64B6A" w:rsidP="00BD0DA5">
      <w:pPr>
        <w:spacing w:line="276" w:lineRule="auto"/>
        <w:jc w:val="both"/>
        <w:rPr>
          <w:rFonts w:ascii="Times New Roman" w:hAnsi="Times New Roman" w:cs="Times New Roman"/>
          <w:sz w:val="24"/>
          <w:szCs w:val="24"/>
        </w:rPr>
      </w:pPr>
    </w:p>
    <w:p w14:paraId="28DAD930" w14:textId="77777777" w:rsidR="00DA398A" w:rsidRPr="009B5E24" w:rsidRDefault="00DA398A"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E730A7">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487A3BF7" w14:textId="77777777" w:rsidR="00B7432C" w:rsidRDefault="00B7432C" w:rsidP="00B7432C">
      <w:pPr>
        <w:ind w:left="5664"/>
        <w:rPr>
          <w:rFonts w:ascii="Times New Roman" w:hAnsi="Times New Roman" w:cs="Times New Roman"/>
          <w:b/>
          <w:sz w:val="24"/>
          <w:szCs w:val="24"/>
        </w:rPr>
      </w:pPr>
      <w:r>
        <w:rPr>
          <w:rFonts w:ascii="Times New Roman" w:hAnsi="Times New Roman" w:cs="Times New Roman"/>
          <w:b/>
          <w:sz w:val="24"/>
          <w:szCs w:val="24"/>
        </w:rPr>
        <w:t xml:space="preserve">Szkoły Podstawowej Integracyjna im. Powstańców Wielkopolskich, </w:t>
      </w:r>
    </w:p>
    <w:p w14:paraId="668E7F09" w14:textId="145B5D48" w:rsidR="00B7432C" w:rsidRPr="001A1324" w:rsidRDefault="00B7432C" w:rsidP="00B7432C">
      <w:pPr>
        <w:ind w:left="5664"/>
        <w:rPr>
          <w:rFonts w:ascii="Times New Roman" w:hAnsi="Times New Roman" w:cs="Times New Roman"/>
          <w:b/>
          <w:sz w:val="24"/>
          <w:szCs w:val="24"/>
        </w:rPr>
      </w:pPr>
      <w:r>
        <w:rPr>
          <w:rFonts w:ascii="Times New Roman" w:hAnsi="Times New Roman" w:cs="Times New Roman"/>
          <w:b/>
          <w:sz w:val="24"/>
          <w:szCs w:val="24"/>
        </w:rPr>
        <w:t>ul. Dra Józefa Krzymińskiego 4, 88-100 Inowrocław</w:t>
      </w:r>
    </w:p>
    <w:p w14:paraId="564816FC" w14:textId="237D9197" w:rsidR="00E730A7" w:rsidRDefault="00E730A7" w:rsidP="00166C73">
      <w:pPr>
        <w:ind w:left="5664"/>
        <w:rPr>
          <w:rFonts w:ascii="Times New Roman" w:hAnsi="Times New Roman" w:cs="Times New Roman"/>
          <w:b/>
          <w:sz w:val="24"/>
          <w:szCs w:val="24"/>
        </w:rPr>
      </w:pP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BD0DA5">
      <w:pPr>
        <w:pStyle w:val="Akapitzlist"/>
        <w:numPr>
          <w:ilvl w:val="0"/>
          <w:numId w:val="3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BD0DA5">
      <w:pPr>
        <w:pStyle w:val="Akapitzlist"/>
        <w:numPr>
          <w:ilvl w:val="0"/>
          <w:numId w:val="3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68DD0F1" w14:textId="77777777" w:rsidR="001C1463" w:rsidRPr="001C1463" w:rsidRDefault="001C1463" w:rsidP="00BD0DA5">
      <w:pPr>
        <w:spacing w:line="276" w:lineRule="auto"/>
        <w:jc w:val="both"/>
        <w:rPr>
          <w:rFonts w:ascii="Times New Roman" w:hAnsi="Times New Roman" w:cs="Times New Roman"/>
          <w:b/>
          <w:bCs/>
          <w:sz w:val="24"/>
          <w:szCs w:val="24"/>
        </w:rPr>
      </w:pP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56192B4C" w14:textId="77777777" w:rsidR="00681B32" w:rsidRPr="009B5E24" w:rsidRDefault="00681B32"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49DEE01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inwestycje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BD0DA5">
      <w:pPr>
        <w:pStyle w:val="Akapitzlist"/>
        <w:numPr>
          <w:ilvl w:val="0"/>
          <w:numId w:val="3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6F53F48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  Wzajemne rozliczenia między jednostkami</w:t>
      </w:r>
    </w:p>
    <w:p w14:paraId="02D9378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09B5A690" w14:textId="686FB876" w:rsidR="001C1463" w:rsidRDefault="001C1463" w:rsidP="00BD0DA5">
      <w:pPr>
        <w:spacing w:line="276" w:lineRule="auto"/>
        <w:jc w:val="both"/>
        <w:rPr>
          <w:rFonts w:ascii="Times New Roman" w:hAnsi="Times New Roman" w:cs="Times New Roman"/>
          <w:sz w:val="24"/>
          <w:szCs w:val="24"/>
        </w:rPr>
      </w:pPr>
    </w:p>
    <w:p w14:paraId="21046FB2" w14:textId="423DB790" w:rsidR="001C1463" w:rsidRDefault="001C1463" w:rsidP="00BD0DA5">
      <w:pPr>
        <w:spacing w:line="276" w:lineRule="auto"/>
        <w:jc w:val="both"/>
        <w:rPr>
          <w:rFonts w:ascii="Times New Roman" w:hAnsi="Times New Roman" w:cs="Times New Roman"/>
          <w:sz w:val="24"/>
          <w:szCs w:val="24"/>
        </w:rPr>
      </w:pPr>
    </w:p>
    <w:p w14:paraId="54B7D61E" w14:textId="2B9E2FB1" w:rsidR="001C1463" w:rsidRDefault="001C1463" w:rsidP="00BD0DA5">
      <w:pPr>
        <w:spacing w:line="276" w:lineRule="auto"/>
        <w:jc w:val="both"/>
        <w:rPr>
          <w:rFonts w:ascii="Times New Roman" w:hAnsi="Times New Roman" w:cs="Times New Roman"/>
          <w:sz w:val="24"/>
          <w:szCs w:val="24"/>
        </w:rPr>
      </w:pPr>
    </w:p>
    <w:p w14:paraId="6E985744" w14:textId="6558ADDB" w:rsidR="001C1463" w:rsidRDefault="001C1463" w:rsidP="00BD0DA5">
      <w:pPr>
        <w:spacing w:line="276" w:lineRule="auto"/>
        <w:jc w:val="both"/>
        <w:rPr>
          <w:rFonts w:ascii="Times New Roman" w:hAnsi="Times New Roman" w:cs="Times New Roman"/>
          <w:sz w:val="24"/>
          <w:szCs w:val="24"/>
        </w:rPr>
      </w:pPr>
    </w:p>
    <w:p w14:paraId="246FBFDF" w14:textId="77777777" w:rsidR="001C1463" w:rsidRPr="009B5E24"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BD0DA5">
      <w:pPr>
        <w:pStyle w:val="Akapitzlist"/>
        <w:numPr>
          <w:ilvl w:val="0"/>
          <w:numId w:val="34"/>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BD0DA5">
      <w:pPr>
        <w:pStyle w:val="Akapitzlist"/>
        <w:numPr>
          <w:ilvl w:val="0"/>
          <w:numId w:val="34"/>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samorządowych zakładów budżetowych oraz dla budżetu jednostek samorządu terytorialnego” Maria Augustowska, Wojciech Rup.</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1262A08D" w14:textId="77777777" w:rsidR="009B5E24" w:rsidRPr="009B5E24" w:rsidRDefault="009B5E24"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63439ED5" w14:textId="3CBA45E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34312A8B" w14:textId="77777777" w:rsidR="009B5E24" w:rsidRPr="009B5E24" w:rsidRDefault="009B5E24" w:rsidP="00BD0DA5">
      <w:pPr>
        <w:spacing w:line="276" w:lineRule="auto"/>
        <w:jc w:val="both"/>
        <w:rPr>
          <w:rFonts w:ascii="Times New Roman" w:hAnsi="Times New Roman" w:cs="Times New Roman"/>
          <w:sz w:val="24"/>
          <w:szCs w:val="24"/>
        </w:rPr>
      </w:pPr>
    </w:p>
    <w:p w14:paraId="5D39F62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080 ujmuje się w szczególności:</w:t>
      </w:r>
    </w:p>
    <w:p w14:paraId="19DA526C"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2E3D66AA"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może wykazywać saldo Wn,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080 powinna zapewnić co najmniej wyodrębnienie kosztów środków trwałych w budowie według poszczególnych rodzajów </w:t>
      </w:r>
      <w:r w:rsidRPr="009B5E24">
        <w:rPr>
          <w:rFonts w:ascii="Times New Roman" w:hAnsi="Times New Roman" w:cs="Times New Roman"/>
          <w:sz w:val="24"/>
          <w:szCs w:val="24"/>
        </w:rPr>
        <w:lastRenderedPageBreak/>
        <w:t>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130 ujmuje się wpływy środków pieniężnych:</w:t>
      </w:r>
    </w:p>
    <w:p w14:paraId="196EF2A9"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130 może wykazywać saldo Wn,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wydatków budżetowych; konto 130 w zakresie wydatków budżetowych może wykazywać saldo Wn,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 dochodów budżetowych; konto 130 w zakresie dochodów budżetowych może wykazywać saldo Wn,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Pr="009B5E24" w:rsidRDefault="009B5E24"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 zespołu 2 może być prowadzona według podziałek klasyfikacji budżetowej i umożliwiać wyodrębnienie poszczególnych grup rozrachunków, rozliczeń, ustalenie przebiegu ich rozliczeń oraz stanu należności, rozliczeń, roszczeń </w:t>
      </w:r>
      <w:r w:rsidRPr="009B5E24">
        <w:rPr>
          <w:rFonts w:ascii="Times New Roman" w:hAnsi="Times New Roman" w:cs="Times New Roman"/>
          <w:sz w:val="24"/>
          <w:szCs w:val="24"/>
        </w:rPr>
        <w:lastRenderedPageBreak/>
        <w:t>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5B315014" w14:textId="5F536658" w:rsidR="009B5E24" w:rsidRDefault="009B5E24" w:rsidP="00BD0DA5">
      <w:pPr>
        <w:spacing w:line="276" w:lineRule="auto"/>
        <w:jc w:val="both"/>
        <w:rPr>
          <w:rFonts w:ascii="Times New Roman" w:hAnsi="Times New Roman" w:cs="Times New Roman"/>
          <w:sz w:val="24"/>
          <w:szCs w:val="24"/>
        </w:rPr>
      </w:pPr>
    </w:p>
    <w:p w14:paraId="1D8A21A0" w14:textId="5738C0EE" w:rsidR="00D70682" w:rsidRDefault="00D70682" w:rsidP="00BD0DA5">
      <w:pPr>
        <w:spacing w:line="276" w:lineRule="auto"/>
        <w:jc w:val="both"/>
        <w:rPr>
          <w:rFonts w:ascii="Times New Roman" w:hAnsi="Times New Roman" w:cs="Times New Roman"/>
          <w:sz w:val="24"/>
          <w:szCs w:val="24"/>
        </w:rPr>
      </w:pPr>
    </w:p>
    <w:p w14:paraId="374E4114" w14:textId="50237534" w:rsidR="00D70682" w:rsidRDefault="00D70682"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może mieć dwa salda. Saldo Wn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202 może mieć dwa salda. Saldo Wn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0FD0DFC6" w14:textId="5B255F2F" w:rsidR="00D70682" w:rsidRDefault="00D70682" w:rsidP="00BD0DA5">
      <w:pPr>
        <w:spacing w:line="276" w:lineRule="auto"/>
        <w:jc w:val="both"/>
        <w:rPr>
          <w:rFonts w:ascii="Times New Roman" w:hAnsi="Times New Roman" w:cs="Times New Roman"/>
          <w:sz w:val="24"/>
          <w:szCs w:val="24"/>
        </w:rPr>
      </w:pP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Pr="009B5E24" w:rsidRDefault="009B5E24"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298EE1A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7A867A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14097FD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225 może wykazywać dwa salda. Saldo Wn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10E18CD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lastRenderedPageBreak/>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Listy płac generowane z programu Płace Vulcan stanowią księgi pomocnicze czyli ewidencję analityczną do konta syntetycznego „231”.</w:t>
      </w:r>
    </w:p>
    <w:p w14:paraId="3695F39A" w14:textId="77777777" w:rsidR="009B5E24" w:rsidRPr="009B5E24" w:rsidRDefault="009B5E24" w:rsidP="00BD0DA5">
      <w:pPr>
        <w:spacing w:line="276" w:lineRule="auto"/>
        <w:jc w:val="both"/>
        <w:rPr>
          <w:rFonts w:ascii="Times New Roman" w:hAnsi="Times New Roman" w:cs="Times New Roman"/>
          <w:sz w:val="24"/>
          <w:szCs w:val="24"/>
        </w:rPr>
      </w:pP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801C391" w14:textId="074AA743" w:rsidR="009B5E24" w:rsidRDefault="009B5E24" w:rsidP="00BD0DA5">
      <w:pPr>
        <w:spacing w:line="276" w:lineRule="auto"/>
        <w:jc w:val="both"/>
        <w:rPr>
          <w:rFonts w:ascii="Times New Roman" w:hAnsi="Times New Roman" w:cs="Times New Roman"/>
          <w:sz w:val="24"/>
          <w:szCs w:val="24"/>
        </w:rPr>
      </w:pPr>
    </w:p>
    <w:p w14:paraId="55FF6CB6" w14:textId="42FA64DF" w:rsidR="0017518A" w:rsidRDefault="0017518A" w:rsidP="00BD0DA5">
      <w:pPr>
        <w:spacing w:line="276" w:lineRule="auto"/>
        <w:jc w:val="both"/>
        <w:rPr>
          <w:rFonts w:ascii="Times New Roman" w:hAnsi="Times New Roman" w:cs="Times New Roman"/>
          <w:sz w:val="24"/>
          <w:szCs w:val="24"/>
        </w:rPr>
      </w:pP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ewidencjonuje się wszelkie rozchody zapasów z magazynów. Konto 310 może wykazywać saldo Wn,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1F2E9B8A" w14:textId="77777777" w:rsidR="009B5E24" w:rsidRPr="009B5E24" w:rsidRDefault="009B5E24" w:rsidP="00BD0DA5">
      <w:pPr>
        <w:spacing w:line="276" w:lineRule="auto"/>
        <w:jc w:val="both"/>
        <w:rPr>
          <w:rFonts w:ascii="Times New Roman" w:hAnsi="Times New Roman" w:cs="Times New Roman"/>
          <w:sz w:val="24"/>
          <w:szCs w:val="24"/>
        </w:rPr>
      </w:pPr>
    </w:p>
    <w:p w14:paraId="063EE7E6" w14:textId="77777777" w:rsidR="00481302" w:rsidRDefault="0048130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400 może wykazywać w ciągu roku obrotowego saldo Wn, które wyraża wysokość poniesionych kosztów amortyzacji. Saldo konta 400 przenosi się w końcu roku obrotowego na konto 860.</w:t>
      </w:r>
    </w:p>
    <w:p w14:paraId="00844C00" w14:textId="77777777" w:rsidR="009B5E24" w:rsidRPr="009B5E24" w:rsidRDefault="009B5E24" w:rsidP="00BD0DA5">
      <w:pPr>
        <w:spacing w:line="276" w:lineRule="auto"/>
        <w:jc w:val="both"/>
        <w:rPr>
          <w:rFonts w:ascii="Times New Roman" w:hAnsi="Times New Roman" w:cs="Times New Roman"/>
          <w:sz w:val="24"/>
          <w:szCs w:val="24"/>
        </w:rPr>
      </w:pPr>
    </w:p>
    <w:p w14:paraId="6E6457B7"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86BA419" w14:textId="77777777" w:rsidR="009B5E24" w:rsidRPr="009B5E24" w:rsidRDefault="009B5E24"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Pr="009B5E24" w:rsidRDefault="009B5E24" w:rsidP="00BD0DA5">
      <w:pPr>
        <w:spacing w:line="276" w:lineRule="auto"/>
        <w:jc w:val="both"/>
        <w:rPr>
          <w:rFonts w:ascii="Times New Roman" w:hAnsi="Times New Roman" w:cs="Times New Roman"/>
          <w:sz w:val="24"/>
          <w:szCs w:val="24"/>
        </w:rPr>
      </w:pPr>
    </w:p>
    <w:p w14:paraId="7102BD39"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Wn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0C65D3">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Wa księgujemy w korespondencji z kontem 860  przeniesienie na koniec roku, osiągniętych przychodów z tytułu finansowych dochodów budżetowych. </w:t>
      </w:r>
    </w:p>
    <w:p w14:paraId="726A4B29" w14:textId="36328DFF"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Ma przychody z tytułu dochodów budżetowych.</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5EC7C99A"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Ma ujmuje się przychody z tytułu operacji finansowych, na stronie Wn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lastRenderedPageBreak/>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Wn księguje się koszty operacji finansowych, na stronie Ma księguje się przeniesienie na koniec roku poniesionych kosztów finansowych.</w:t>
      </w:r>
    </w:p>
    <w:p w14:paraId="76B5EA4A" w14:textId="70127E1E" w:rsidR="009B5E24" w:rsidRDefault="009B5E24" w:rsidP="00BD0DA5">
      <w:pPr>
        <w:spacing w:line="276" w:lineRule="auto"/>
        <w:jc w:val="both"/>
        <w:rPr>
          <w:rFonts w:ascii="Times New Roman" w:hAnsi="Times New Roman" w:cs="Times New Roman"/>
          <w:sz w:val="24"/>
          <w:szCs w:val="24"/>
        </w:rPr>
      </w:pP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na koniec roku osiągniętych pozostałych przychodów operacyjnych. Na koncie Ma księgujemy m.in. :</w:t>
      </w:r>
    </w:p>
    <w:p w14:paraId="5F09813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030980D0" w14:textId="77777777" w:rsidR="009B5E24" w:rsidRPr="009B5E24" w:rsidRDefault="009B5E24" w:rsidP="00BD0DA5">
      <w:pPr>
        <w:spacing w:line="276" w:lineRule="auto"/>
        <w:jc w:val="both"/>
        <w:rPr>
          <w:rFonts w:ascii="Times New Roman" w:hAnsi="Times New Roman" w:cs="Times New Roman"/>
          <w:sz w:val="24"/>
          <w:szCs w:val="24"/>
        </w:rPr>
      </w:pPr>
    </w:p>
    <w:p w14:paraId="47FC10FF" w14:textId="77777777" w:rsidR="003574E7"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7E92C588"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Na stronie Wn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Wn konta 800 ujmuje się zmniejszenia funduszu, w szczególności:</w:t>
      </w:r>
    </w:p>
    <w:p w14:paraId="71F58997"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ujemny wynik finansowy roku ubiegłego (stratę bilansową) przeksięgowany z konta 860,</w:t>
      </w:r>
    </w:p>
    <w:p w14:paraId="65760ECD"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2D1FF091" w14:textId="05F2B777" w:rsidR="009B5E24" w:rsidRP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sprzedanych lub przekazanych nieodpłatnie środków trwałych i inwestycji oraz koszty inwestycji bez efektów – Ma 080,</w:t>
      </w:r>
    </w:p>
    <w:p w14:paraId="3D5CB5D4" w14:textId="77777777" w:rsidR="009B5E24" w:rsidRPr="009B5E24" w:rsidRDefault="009B5E24" w:rsidP="00BD0DA5">
      <w:pPr>
        <w:spacing w:line="276" w:lineRule="auto"/>
        <w:jc w:val="both"/>
        <w:rPr>
          <w:rFonts w:ascii="Times New Roman" w:hAnsi="Times New Roman" w:cs="Times New Roman"/>
          <w:sz w:val="24"/>
          <w:szCs w:val="24"/>
        </w:rPr>
      </w:pP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wartości niematerialnych i prawnych (zapis równoległy do zapłaty – Wn 810 Ma 800)</w:t>
      </w:r>
      <w:r w:rsidR="005F3437">
        <w:rPr>
          <w:rFonts w:ascii="Times New Roman" w:hAnsi="Times New Roman" w:cs="Times New Roman"/>
          <w:sz w:val="24"/>
          <w:szCs w:val="24"/>
        </w:rPr>
        <w:t>,</w:t>
      </w:r>
    </w:p>
    <w:p w14:paraId="2B7CF624" w14:textId="273788FA" w:rsidR="009B5E24" w:rsidRP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BD0DA5">
      <w:pPr>
        <w:pStyle w:val="Akapitzlist"/>
        <w:numPr>
          <w:ilvl w:val="0"/>
          <w:numId w:val="37"/>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BD0DA5">
      <w:pPr>
        <w:pStyle w:val="Akapitzlist"/>
        <w:numPr>
          <w:ilvl w:val="0"/>
          <w:numId w:val="37"/>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77777777" w:rsidR="005F3437" w:rsidRP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 xml:space="preserve"> Ewidencja szczegółowa do konta 800 winna umożliwić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BD0DA5">
      <w:pPr>
        <w:pStyle w:val="Akapitzlist"/>
        <w:numPr>
          <w:ilvl w:val="0"/>
          <w:numId w:val="33"/>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 xml:space="preserve">ze środków budżetowych na finansowanie własnych środków (Wn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wszystkie zwiększenia ZFŚS, natomiast zmniejszenia funduszu łącznie z kosztami działalności socjalnej ujmuje się po stronie Wn.</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końcu roku obrotowego pod datą 31 grudnia księguje się na stronie Wn:</w:t>
      </w:r>
    </w:p>
    <w:p w14:paraId="7768B2FF" w14:textId="77777777" w:rsidR="00F64B6A"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Pr="009B5E24" w:rsidRDefault="005F3437" w:rsidP="005F3437">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(Wn konto 700),</w:t>
      </w:r>
    </w:p>
    <w:p w14:paraId="3CF04993" w14:textId="066D7EA1"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 tytułu dochodów budżetowych ( Wn konto 720),</w:t>
      </w:r>
    </w:p>
    <w:p w14:paraId="694361AB" w14:textId="54C8348C"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(Wn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Wn konta oznacza stratę netto.</w:t>
      </w:r>
    </w:p>
    <w:p w14:paraId="75B65E3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m-cy.</w:t>
      </w: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księgujemy: Wn – wpłata należności, Ma – przychód (przypis),</w:t>
      </w:r>
      <w:r w:rsidR="00DF7856">
        <w:rPr>
          <w:rFonts w:ascii="Times New Roman" w:hAnsi="Times New Roman" w:cs="Times New Roman"/>
          <w:sz w:val="24"/>
          <w:szCs w:val="24"/>
        </w:rPr>
        <w:t xml:space="preserve"> </w:t>
      </w:r>
      <w:bookmarkStart w:id="2"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2"/>
    </w:p>
    <w:p w14:paraId="4F77193B" w14:textId="604B100A"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księgujemy : Wn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Wn – należności, Ma – wpłata należności, saldo Wn oznacza stan należności do wyłączenia w sprawozdaniu łącznym,</w:t>
      </w:r>
    </w:p>
    <w:p w14:paraId="2202AAF1" w14:textId="21577C85"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zobowiązania: Wn – zapłata zobowiązań, Ma – zobowiązanie, saldo Ma oznacza stan zobowiązań  do wyłączenia w sprawozdaniu łącznym.</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5DEF3182" w14:textId="77777777" w:rsidR="009B5E24" w:rsidRPr="009B5E24" w:rsidRDefault="009B5E24" w:rsidP="00BD0DA5">
      <w:pPr>
        <w:spacing w:line="276" w:lineRule="auto"/>
        <w:jc w:val="both"/>
        <w:rPr>
          <w:rFonts w:ascii="Times New Roman" w:hAnsi="Times New Roman" w:cs="Times New Roman"/>
          <w:sz w:val="24"/>
          <w:szCs w:val="24"/>
        </w:rPr>
      </w:pP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F5492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A8564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ab/>
      </w:r>
    </w:p>
    <w:p w14:paraId="6A7FF6A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A256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77777777" w:rsidR="00825D48" w:rsidRPr="009B5E24" w:rsidRDefault="00825D48" w:rsidP="00BD0DA5">
      <w:pPr>
        <w:spacing w:line="276" w:lineRule="auto"/>
        <w:jc w:val="both"/>
        <w:rPr>
          <w:rFonts w:ascii="Times New Roman" w:hAnsi="Times New Roman" w:cs="Times New Roman"/>
          <w:sz w:val="24"/>
          <w:szCs w:val="24"/>
        </w:rPr>
      </w:pP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D4311"/>
    <w:multiLevelType w:val="hybridMultilevel"/>
    <w:tmpl w:val="B2DE98D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B75486F"/>
    <w:multiLevelType w:val="hybridMultilevel"/>
    <w:tmpl w:val="FE8CFA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0F664AB"/>
    <w:multiLevelType w:val="hybridMultilevel"/>
    <w:tmpl w:val="94A4C1BA"/>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21B4B59"/>
    <w:multiLevelType w:val="hybridMultilevel"/>
    <w:tmpl w:val="9A820A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29E66FB"/>
    <w:multiLevelType w:val="hybridMultilevel"/>
    <w:tmpl w:val="EC8EB5F4"/>
    <w:lvl w:ilvl="0" w:tplc="04150009">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nsid w:val="1A0E4E78"/>
    <w:multiLevelType w:val="hybridMultilevel"/>
    <w:tmpl w:val="D1E27996"/>
    <w:lvl w:ilvl="0" w:tplc="D2A8F5A8">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C1B67E3"/>
    <w:multiLevelType w:val="hybridMultilevel"/>
    <w:tmpl w:val="6298BAA0"/>
    <w:lvl w:ilvl="0" w:tplc="04150003">
      <w:start w:val="1"/>
      <w:numFmt w:val="bullet"/>
      <w:lvlText w:val="o"/>
      <w:lvlJc w:val="left"/>
      <w:pPr>
        <w:ind w:left="2148" w:hanging="360"/>
      </w:pPr>
      <w:rPr>
        <w:rFonts w:ascii="Courier New" w:hAnsi="Courier New" w:cs="Courier New" w:hint="default"/>
      </w:rPr>
    </w:lvl>
    <w:lvl w:ilvl="1" w:tplc="04150003" w:tentative="1">
      <w:start w:val="1"/>
      <w:numFmt w:val="bullet"/>
      <w:lvlText w:val="o"/>
      <w:lvlJc w:val="left"/>
      <w:pPr>
        <w:ind w:left="2868" w:hanging="360"/>
      </w:pPr>
      <w:rPr>
        <w:rFonts w:ascii="Courier New" w:hAnsi="Courier New" w:cs="Courier New" w:hint="default"/>
      </w:rPr>
    </w:lvl>
    <w:lvl w:ilvl="2" w:tplc="04150005" w:tentative="1">
      <w:start w:val="1"/>
      <w:numFmt w:val="bullet"/>
      <w:lvlText w:val=""/>
      <w:lvlJc w:val="left"/>
      <w:pPr>
        <w:ind w:left="3588" w:hanging="360"/>
      </w:pPr>
      <w:rPr>
        <w:rFonts w:ascii="Wingdings" w:hAnsi="Wingdings" w:hint="default"/>
      </w:rPr>
    </w:lvl>
    <w:lvl w:ilvl="3" w:tplc="04150001" w:tentative="1">
      <w:start w:val="1"/>
      <w:numFmt w:val="bullet"/>
      <w:lvlText w:val=""/>
      <w:lvlJc w:val="left"/>
      <w:pPr>
        <w:ind w:left="4308" w:hanging="360"/>
      </w:pPr>
      <w:rPr>
        <w:rFonts w:ascii="Symbol" w:hAnsi="Symbol" w:hint="default"/>
      </w:rPr>
    </w:lvl>
    <w:lvl w:ilvl="4" w:tplc="04150003" w:tentative="1">
      <w:start w:val="1"/>
      <w:numFmt w:val="bullet"/>
      <w:lvlText w:val="o"/>
      <w:lvlJc w:val="left"/>
      <w:pPr>
        <w:ind w:left="5028" w:hanging="360"/>
      </w:pPr>
      <w:rPr>
        <w:rFonts w:ascii="Courier New" w:hAnsi="Courier New" w:cs="Courier New" w:hint="default"/>
      </w:rPr>
    </w:lvl>
    <w:lvl w:ilvl="5" w:tplc="04150005" w:tentative="1">
      <w:start w:val="1"/>
      <w:numFmt w:val="bullet"/>
      <w:lvlText w:val=""/>
      <w:lvlJc w:val="left"/>
      <w:pPr>
        <w:ind w:left="5748" w:hanging="360"/>
      </w:pPr>
      <w:rPr>
        <w:rFonts w:ascii="Wingdings" w:hAnsi="Wingdings" w:hint="default"/>
      </w:rPr>
    </w:lvl>
    <w:lvl w:ilvl="6" w:tplc="04150001" w:tentative="1">
      <w:start w:val="1"/>
      <w:numFmt w:val="bullet"/>
      <w:lvlText w:val=""/>
      <w:lvlJc w:val="left"/>
      <w:pPr>
        <w:ind w:left="6468" w:hanging="360"/>
      </w:pPr>
      <w:rPr>
        <w:rFonts w:ascii="Symbol" w:hAnsi="Symbol" w:hint="default"/>
      </w:rPr>
    </w:lvl>
    <w:lvl w:ilvl="7" w:tplc="04150003" w:tentative="1">
      <w:start w:val="1"/>
      <w:numFmt w:val="bullet"/>
      <w:lvlText w:val="o"/>
      <w:lvlJc w:val="left"/>
      <w:pPr>
        <w:ind w:left="7188" w:hanging="360"/>
      </w:pPr>
      <w:rPr>
        <w:rFonts w:ascii="Courier New" w:hAnsi="Courier New" w:cs="Courier New" w:hint="default"/>
      </w:rPr>
    </w:lvl>
    <w:lvl w:ilvl="8" w:tplc="04150005" w:tentative="1">
      <w:start w:val="1"/>
      <w:numFmt w:val="bullet"/>
      <w:lvlText w:val=""/>
      <w:lvlJc w:val="left"/>
      <w:pPr>
        <w:ind w:left="7908" w:hanging="360"/>
      </w:pPr>
      <w:rPr>
        <w:rFonts w:ascii="Wingdings" w:hAnsi="Wingdings" w:hint="default"/>
      </w:rPr>
    </w:lvl>
  </w:abstractNum>
  <w:abstractNum w:abstractNumId="8">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nsid w:val="1F4C5E9F"/>
    <w:multiLevelType w:val="hybridMultilevel"/>
    <w:tmpl w:val="8E5A9AB2"/>
    <w:lvl w:ilvl="0" w:tplc="04150005">
      <w:start w:val="1"/>
      <w:numFmt w:val="bullet"/>
      <w:lvlText w:val=""/>
      <w:lvlJc w:val="left"/>
      <w:pPr>
        <w:ind w:left="1430" w:hanging="360"/>
      </w:pPr>
      <w:rPr>
        <w:rFonts w:ascii="Wingdings" w:hAnsi="Wingdings" w:hint="default"/>
      </w:rPr>
    </w:lvl>
    <w:lvl w:ilvl="1" w:tplc="04150003" w:tentative="1">
      <w:start w:val="1"/>
      <w:numFmt w:val="bullet"/>
      <w:lvlText w:val="o"/>
      <w:lvlJc w:val="left"/>
      <w:pPr>
        <w:ind w:left="2150" w:hanging="360"/>
      </w:pPr>
      <w:rPr>
        <w:rFonts w:ascii="Courier New" w:hAnsi="Courier New" w:cs="Courier New" w:hint="default"/>
      </w:rPr>
    </w:lvl>
    <w:lvl w:ilvl="2" w:tplc="04150005" w:tentative="1">
      <w:start w:val="1"/>
      <w:numFmt w:val="bullet"/>
      <w:lvlText w:val=""/>
      <w:lvlJc w:val="left"/>
      <w:pPr>
        <w:ind w:left="2870" w:hanging="360"/>
      </w:pPr>
      <w:rPr>
        <w:rFonts w:ascii="Wingdings" w:hAnsi="Wingdings" w:hint="default"/>
      </w:rPr>
    </w:lvl>
    <w:lvl w:ilvl="3" w:tplc="04150001" w:tentative="1">
      <w:start w:val="1"/>
      <w:numFmt w:val="bullet"/>
      <w:lvlText w:val=""/>
      <w:lvlJc w:val="left"/>
      <w:pPr>
        <w:ind w:left="3590" w:hanging="360"/>
      </w:pPr>
      <w:rPr>
        <w:rFonts w:ascii="Symbol" w:hAnsi="Symbol" w:hint="default"/>
      </w:rPr>
    </w:lvl>
    <w:lvl w:ilvl="4" w:tplc="04150003" w:tentative="1">
      <w:start w:val="1"/>
      <w:numFmt w:val="bullet"/>
      <w:lvlText w:val="o"/>
      <w:lvlJc w:val="left"/>
      <w:pPr>
        <w:ind w:left="4310" w:hanging="360"/>
      </w:pPr>
      <w:rPr>
        <w:rFonts w:ascii="Courier New" w:hAnsi="Courier New" w:cs="Courier New" w:hint="default"/>
      </w:rPr>
    </w:lvl>
    <w:lvl w:ilvl="5" w:tplc="04150005" w:tentative="1">
      <w:start w:val="1"/>
      <w:numFmt w:val="bullet"/>
      <w:lvlText w:val=""/>
      <w:lvlJc w:val="left"/>
      <w:pPr>
        <w:ind w:left="5030" w:hanging="360"/>
      </w:pPr>
      <w:rPr>
        <w:rFonts w:ascii="Wingdings" w:hAnsi="Wingdings" w:hint="default"/>
      </w:rPr>
    </w:lvl>
    <w:lvl w:ilvl="6" w:tplc="04150001" w:tentative="1">
      <w:start w:val="1"/>
      <w:numFmt w:val="bullet"/>
      <w:lvlText w:val=""/>
      <w:lvlJc w:val="left"/>
      <w:pPr>
        <w:ind w:left="5750" w:hanging="360"/>
      </w:pPr>
      <w:rPr>
        <w:rFonts w:ascii="Symbol" w:hAnsi="Symbol" w:hint="default"/>
      </w:rPr>
    </w:lvl>
    <w:lvl w:ilvl="7" w:tplc="04150003" w:tentative="1">
      <w:start w:val="1"/>
      <w:numFmt w:val="bullet"/>
      <w:lvlText w:val="o"/>
      <w:lvlJc w:val="left"/>
      <w:pPr>
        <w:ind w:left="6470" w:hanging="360"/>
      </w:pPr>
      <w:rPr>
        <w:rFonts w:ascii="Courier New" w:hAnsi="Courier New" w:cs="Courier New" w:hint="default"/>
      </w:rPr>
    </w:lvl>
    <w:lvl w:ilvl="8" w:tplc="04150005" w:tentative="1">
      <w:start w:val="1"/>
      <w:numFmt w:val="bullet"/>
      <w:lvlText w:val=""/>
      <w:lvlJc w:val="left"/>
      <w:pPr>
        <w:ind w:left="7190" w:hanging="360"/>
      </w:pPr>
      <w:rPr>
        <w:rFonts w:ascii="Wingdings" w:hAnsi="Wingdings" w:hint="default"/>
      </w:rPr>
    </w:lvl>
  </w:abstractNum>
  <w:abstractNum w:abstractNumId="10">
    <w:nsid w:val="28033376"/>
    <w:multiLevelType w:val="hybridMultilevel"/>
    <w:tmpl w:val="800A91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3">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4">
    <w:nsid w:val="336F79F5"/>
    <w:multiLevelType w:val="hybridMultilevel"/>
    <w:tmpl w:val="06CE80BA"/>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B085843"/>
    <w:multiLevelType w:val="hybridMultilevel"/>
    <w:tmpl w:val="B758527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8">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1">
    <w:nsid w:val="45A76C9F"/>
    <w:multiLevelType w:val="hybridMultilevel"/>
    <w:tmpl w:val="8C564842"/>
    <w:lvl w:ilvl="0" w:tplc="D5942D26">
      <w:start w:val="11"/>
      <w:numFmt w:val="bullet"/>
      <w:lvlText w:val="•"/>
      <w:lvlJc w:val="left"/>
      <w:pPr>
        <w:ind w:left="1070" w:hanging="71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5001002B"/>
    <w:multiLevelType w:val="hybridMultilevel"/>
    <w:tmpl w:val="53484D5A"/>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8">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9">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1">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2">
    <w:nsid w:val="6F1130A4"/>
    <w:multiLevelType w:val="hybridMultilevel"/>
    <w:tmpl w:val="8C8A270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4">
    <w:nsid w:val="723B20F1"/>
    <w:multiLevelType w:val="hybridMultilevel"/>
    <w:tmpl w:val="0BCE313A"/>
    <w:lvl w:ilvl="0" w:tplc="0415000D">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35">
    <w:nsid w:val="7E0D1B2C"/>
    <w:multiLevelType w:val="hybridMultilevel"/>
    <w:tmpl w:val="4134E0B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7F1A59A8"/>
    <w:multiLevelType w:val="hybridMultilevel"/>
    <w:tmpl w:val="65CCB51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17"/>
  </w:num>
  <w:num w:numId="4">
    <w:abstractNumId w:val="1"/>
  </w:num>
  <w:num w:numId="5">
    <w:abstractNumId w:val="20"/>
  </w:num>
  <w:num w:numId="6">
    <w:abstractNumId w:val="13"/>
  </w:num>
  <w:num w:numId="7">
    <w:abstractNumId w:val="23"/>
  </w:num>
  <w:num w:numId="8">
    <w:abstractNumId w:val="32"/>
  </w:num>
  <w:num w:numId="9">
    <w:abstractNumId w:val="0"/>
  </w:num>
  <w:num w:numId="10">
    <w:abstractNumId w:val="3"/>
  </w:num>
  <w:num w:numId="11">
    <w:abstractNumId w:val="7"/>
  </w:num>
  <w:num w:numId="12">
    <w:abstractNumId w:val="4"/>
  </w:num>
  <w:num w:numId="13">
    <w:abstractNumId w:val="29"/>
  </w:num>
  <w:num w:numId="14">
    <w:abstractNumId w:val="10"/>
  </w:num>
  <w:num w:numId="15">
    <w:abstractNumId w:val="34"/>
  </w:num>
  <w:num w:numId="16">
    <w:abstractNumId w:val="30"/>
  </w:num>
  <w:num w:numId="17">
    <w:abstractNumId w:val="28"/>
  </w:num>
  <w:num w:numId="18">
    <w:abstractNumId w:val="19"/>
  </w:num>
  <w:num w:numId="19">
    <w:abstractNumId w:val="27"/>
  </w:num>
  <w:num w:numId="20">
    <w:abstractNumId w:val="8"/>
  </w:num>
  <w:num w:numId="21">
    <w:abstractNumId w:val="25"/>
  </w:num>
  <w:num w:numId="22">
    <w:abstractNumId w:val="2"/>
  </w:num>
  <w:num w:numId="23">
    <w:abstractNumId w:val="5"/>
  </w:num>
  <w:num w:numId="24">
    <w:abstractNumId w:val="36"/>
  </w:num>
  <w:num w:numId="25">
    <w:abstractNumId w:val="24"/>
  </w:num>
  <w:num w:numId="26">
    <w:abstractNumId w:val="35"/>
  </w:num>
  <w:num w:numId="27">
    <w:abstractNumId w:val="21"/>
  </w:num>
  <w:num w:numId="28">
    <w:abstractNumId w:val="11"/>
  </w:num>
  <w:num w:numId="29">
    <w:abstractNumId w:val="16"/>
  </w:num>
  <w:num w:numId="30">
    <w:abstractNumId w:val="15"/>
  </w:num>
  <w:num w:numId="31">
    <w:abstractNumId w:val="9"/>
  </w:num>
  <w:num w:numId="32">
    <w:abstractNumId w:val="26"/>
  </w:num>
  <w:num w:numId="33">
    <w:abstractNumId w:val="18"/>
  </w:num>
  <w:num w:numId="34">
    <w:abstractNumId w:val="22"/>
  </w:num>
  <w:num w:numId="35">
    <w:abstractNumId w:val="6"/>
  </w:num>
  <w:num w:numId="36">
    <w:abstractNumId w:val="33"/>
  </w:num>
  <w:num w:numId="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E24"/>
    <w:rsid w:val="0003339C"/>
    <w:rsid w:val="000C65D3"/>
    <w:rsid w:val="00144956"/>
    <w:rsid w:val="0016562D"/>
    <w:rsid w:val="00166C73"/>
    <w:rsid w:val="0017518A"/>
    <w:rsid w:val="001861E9"/>
    <w:rsid w:val="001930DA"/>
    <w:rsid w:val="001C1463"/>
    <w:rsid w:val="001D4935"/>
    <w:rsid w:val="00205111"/>
    <w:rsid w:val="002B6461"/>
    <w:rsid w:val="002D1807"/>
    <w:rsid w:val="003120C8"/>
    <w:rsid w:val="003574E7"/>
    <w:rsid w:val="00382F9B"/>
    <w:rsid w:val="003B1E11"/>
    <w:rsid w:val="003B4125"/>
    <w:rsid w:val="003C6C34"/>
    <w:rsid w:val="003D7A04"/>
    <w:rsid w:val="004000D5"/>
    <w:rsid w:val="0040720F"/>
    <w:rsid w:val="00417120"/>
    <w:rsid w:val="004761FC"/>
    <w:rsid w:val="00481302"/>
    <w:rsid w:val="004C7472"/>
    <w:rsid w:val="004D6698"/>
    <w:rsid w:val="004E15BE"/>
    <w:rsid w:val="00511CF6"/>
    <w:rsid w:val="00523A56"/>
    <w:rsid w:val="005476A9"/>
    <w:rsid w:val="00591BCD"/>
    <w:rsid w:val="005D3439"/>
    <w:rsid w:val="005D4C89"/>
    <w:rsid w:val="005E623D"/>
    <w:rsid w:val="005F3437"/>
    <w:rsid w:val="00615AF9"/>
    <w:rsid w:val="00626FC5"/>
    <w:rsid w:val="00681B32"/>
    <w:rsid w:val="00695298"/>
    <w:rsid w:val="006B7172"/>
    <w:rsid w:val="006E214C"/>
    <w:rsid w:val="00702C69"/>
    <w:rsid w:val="00750345"/>
    <w:rsid w:val="00785608"/>
    <w:rsid w:val="007B02AD"/>
    <w:rsid w:val="007B50B8"/>
    <w:rsid w:val="007C0A25"/>
    <w:rsid w:val="007D73BC"/>
    <w:rsid w:val="00825D48"/>
    <w:rsid w:val="008577D6"/>
    <w:rsid w:val="008C58CE"/>
    <w:rsid w:val="009001B4"/>
    <w:rsid w:val="009117A2"/>
    <w:rsid w:val="00920F78"/>
    <w:rsid w:val="00960F21"/>
    <w:rsid w:val="009B5E24"/>
    <w:rsid w:val="00A60692"/>
    <w:rsid w:val="00AD2E37"/>
    <w:rsid w:val="00AE01F4"/>
    <w:rsid w:val="00B7432C"/>
    <w:rsid w:val="00BA6EB9"/>
    <w:rsid w:val="00BD0DA5"/>
    <w:rsid w:val="00C46D66"/>
    <w:rsid w:val="00CB2EBF"/>
    <w:rsid w:val="00D17BE0"/>
    <w:rsid w:val="00D70682"/>
    <w:rsid w:val="00DA398A"/>
    <w:rsid w:val="00DF7069"/>
    <w:rsid w:val="00DF7856"/>
    <w:rsid w:val="00E11B7C"/>
    <w:rsid w:val="00E730A7"/>
    <w:rsid w:val="00E73FB2"/>
    <w:rsid w:val="00E961C7"/>
    <w:rsid w:val="00E97E58"/>
    <w:rsid w:val="00EA4DB4"/>
    <w:rsid w:val="00F412EC"/>
    <w:rsid w:val="00F6328C"/>
    <w:rsid w:val="00F64B6A"/>
    <w:rsid w:val="00F73E78"/>
    <w:rsid w:val="00F9390B"/>
    <w:rsid w:val="00F97596"/>
    <w:rsid w:val="00FE2201"/>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D5F9CD-0D69-49B5-B508-BFE4B7F20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11952</Words>
  <Characters>71712</Characters>
  <Application>Microsoft Office Word</Application>
  <DocSecurity>0</DocSecurity>
  <Lines>597</Lines>
  <Paragraphs>166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Olszak</dc:creator>
  <cp:lastModifiedBy>Olszak Marlena</cp:lastModifiedBy>
  <cp:revision>3</cp:revision>
  <dcterms:created xsi:type="dcterms:W3CDTF">2020-12-18T13:51:00Z</dcterms:created>
  <dcterms:modified xsi:type="dcterms:W3CDTF">2020-12-18T14:06:00Z</dcterms:modified>
</cp:coreProperties>
</file>